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color="FFFFFF" w:sz="0"/>
              <w:left w:val="none" w:color="FFFFFF" w:sz="0"/>
              <w:bottom w:val="none" w:color="FFFFFF" w:sz="0"/>
              <w:right w:val="none" w:color="FFFFFF" w:sz="0"/>
            </w:tcBorders>
            <w:shd w:fill="1F3864" w:color="auto" w:val="clear"/>
            <w:tcMar>
              <w:top w:type="dxa" w:w="300"/>
              <w:left w:type="dxa" w:w="360"/>
              <w:bottom w:type="dxa" w:w="300"/>
              <w:right w:type="dxa" w:w="360"/>
            </w:tcMar>
          </w:tcPr>
          <w:p>
            <w:pPr>
              <w:spacing w:after="80" w:line="380" w:lineRule="atLeast"/>
            </w:pPr>
            <w:r>
              <w:rPr>
                <w:rFonts w:ascii="Calibri" w:cs="Calibri" w:eastAsia="Calibri" w:hAnsi="Calibri"/>
                <w:b/>
                <w:bCs/>
                <w:color w:val="FFFFFF"/>
                <w:sz w:val="40"/>
                <w:szCs w:val="40"/>
              </w:rPr>
              <w:t xml:space="preserve">GUÍA INTEGRAL DE</w:t>
            </w:r>
          </w:p>
          <w:p>
            <w:pPr>
              <w:spacing w:after="80" w:line="380" w:lineRule="atLeast"/>
            </w:pPr>
            <w:r>
              <w:rPr>
                <w:rFonts w:ascii="Calibri" w:cs="Calibri" w:eastAsia="Calibri" w:hAnsi="Calibri"/>
                <w:b/>
                <w:bCs/>
                <w:color w:val="FFFFFF"/>
                <w:sz w:val="56"/>
                <w:szCs w:val="56"/>
              </w:rPr>
              <w:t xml:space="preserve">EVALUACIÓN CREDITICIA</w:t>
            </w:r>
          </w:p>
          <w:p>
            <w:pPr>
              <w:spacing w:after="80" w:line="380" w:lineRule="atLeast"/>
            </w:pPr>
            <w:r>
              <w:rPr>
                <w:rFonts w:ascii="Calibri" w:cs="Calibri" w:eastAsia="Calibri" w:hAnsi="Calibri"/>
                <w:b/>
                <w:bCs/>
                <w:color w:val="FFFFFF"/>
                <w:sz w:val="40"/>
                <w:szCs w:val="40"/>
              </w:rPr>
              <w:t xml:space="preserve">EFECTIVA EN EL SALVADOR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color="FFFFFF" w:sz="0"/>
              <w:left w:val="none" w:color="FFFFFF" w:sz="0"/>
              <w:bottom w:val="none" w:color="FFFFFF" w:sz="0"/>
              <w:right w:val="none" w:color="FFFFFF" w:sz="0"/>
            </w:tcBorders>
            <w:shd w:fill="DEEAF6" w:color="auto" w:val="clear"/>
            <w:tcMar>
              <w:top w:type="dxa" w:w="300"/>
              <w:left w:type="dxa" w:w="360"/>
              <w:bottom w:type="dxa" w:w="300"/>
              <w:right w:type="dxa" w:w="360"/>
            </w:tcMar>
          </w:tcPr>
          <w:p>
            <w:pPr>
              <w:spacing w:after="80" w:line="380" w:lineRule="atLeast"/>
            </w:pPr>
            <w:r>
              <w:rPr>
                <w:rFonts w:ascii="Calibri" w:cs="Calibri" w:eastAsia="Calibri" w:hAnsi="Calibri"/>
                <w:b/>
                <w:bCs/>
                <w:color w:val="1F3864"/>
                <w:sz w:val="30"/>
                <w:szCs w:val="30"/>
              </w:rPr>
              <w:t xml:space="preserve">Actualización 2026</w:t>
            </w:r>
          </w:p>
          <w:p>
            <w:pPr>
              <w:spacing w:after="80" w:line="380" w:lineRule="atLeast"/>
            </w:pPr>
            <w:r>
              <w:rPr>
                <w:rFonts w:ascii="Calibri" w:cs="Calibri" w:eastAsia="Calibri" w:hAnsi="Calibri"/>
                <w:b w:val="false"/>
                <w:bCs w:val="false"/>
                <w:color w:val="1F3864"/>
                <w:sz w:val="24"/>
                <w:szCs w:val="24"/>
              </w:rPr>
              <w:t xml:space="preserve">Metodología, normativa de referencia, casos prácticos y herramientas</w:t>
            </w:r>
          </w:p>
        </w:tc>
      </w:tr>
    </w:tbl>
    <w:p>
      <w:pPr>
        <w:spacing w:before="900"/>
      </w:pPr>
    </w:p>
    <w:p>
      <w:pPr>
        <w:keepNext w:val="false"/>
        <w:spacing w:after="120" w:before="0"/>
        <w:jc w:val="left"/>
      </w:pPr>
      <w:r>
        <w:rPr>
          <w:b/>
          <w:bCs/>
          <w:color w:val="1F3864"/>
          <w:sz w:val="24"/>
          <w:szCs w:val="24"/>
        </w:rPr>
        <w:t xml:space="preserve">Desde la recepción del expediente hasta el seguimiento posterior al desembolso</w:t>
      </w:r>
    </w:p>
    <w:p>
      <w:pPr>
        <w:keepNext w:val="false"/>
        <w:spacing w:after="120" w:before="0"/>
        <w:jc w:val="left"/>
      </w:pPr>
      <w:r>
        <w:rPr>
          <w:color w:val="595959"/>
          <w:sz w:val="20"/>
          <w:szCs w:val="20"/>
        </w:rPr>
        <w:t xml:space="preserve">Capacidad de pago · Historial crediticio · Garantías · Gestión de riesgos · Calificación interna · Informe · Trazabilidad · Seguimiento</w:t>
      </w:r>
    </w:p>
    <w:p>
      <w:pPr>
        <w:spacing w:before="1600"/>
      </w:pPr>
    </w:p>
    <w:p>
      <w:pPr>
        <w:keepNext w:val="false"/>
        <w:spacing w:after="120" w:before="0"/>
        <w:jc w:val="left"/>
      </w:pPr>
      <w:r>
        <w:rPr>
          <w:b/>
          <w:bCs/>
          <w:sz w:val="19"/>
          <w:szCs w:val="19"/>
        </w:rPr>
        <w:t xml:space="preserve">Versión:</w:t>
      </w:r>
      <w:r>
        <w:rPr>
          <w:sz w:val="19"/>
          <w:szCs w:val="19"/>
        </w:rPr>
        <w:t xml:space="preserve"> 1.0 · </w:t>
      </w:r>
      <w:r>
        <w:rPr>
          <w:b/>
          <w:bCs/>
          <w:sz w:val="19"/>
          <w:szCs w:val="19"/>
        </w:rPr>
        <w:t xml:space="preserve">Fecha de elaboración:</w:t>
      </w:r>
      <w:r>
        <w:rPr>
          <w:sz w:val="19"/>
          <w:szCs w:val="19"/>
        </w:rPr>
        <w:t xml:space="preserve"> octubre de 2026 · </w:t>
      </w:r>
      <w:r>
        <w:rPr>
          <w:b/>
          <w:bCs/>
          <w:sz w:val="19"/>
          <w:szCs w:val="19"/>
        </w:rPr>
        <w:t xml:space="preserve">Fecha de consulta normativa:</w:t>
      </w:r>
      <w:r>
        <w:rPr>
          <w:sz w:val="19"/>
          <w:szCs w:val="19"/>
        </w:rPr>
        <w:t xml:space="preserve"> 27/10/2026</w:t>
      </w:r>
    </w:p>
    <w:p>
      <w:pPr>
        <w:keepNext w:val="false"/>
        <w:spacing w:after="120" w:before="0"/>
        <w:jc w:val="left"/>
      </w:pPr>
      <w:r>
        <w:rPr>
          <w:b/>
          <w:bCs/>
          <w:sz w:val="19"/>
          <w:szCs w:val="19"/>
        </w:rPr>
        <w:t xml:space="preserve">Moneda de los ejemplos:</w:t>
      </w:r>
      <w:r>
        <w:rPr>
          <w:sz w:val="19"/>
          <w:szCs w:val="19"/>
        </w:rPr>
        <w:t xml:space="preserve"> dólares de los Estados Unidos (US$). Todos los nombres, casos y cifras de ejemplo son ficticios.</w:t>
      </w:r>
    </w:p>
    <w:p>
      <w:pPr>
        <w:keepNext w:val="false"/>
        <w:spacing w:after="120" w:before="0"/>
        <w:jc w:val="left"/>
      </w:pPr>
      <w:r>
        <w:rPr>
          <w:i/>
          <w:iCs/>
          <w:color w:val="595959"/>
          <w:sz w:val="19"/>
          <w:szCs w:val="19"/>
        </w:rPr>
        <w:t xml:space="preserve">Documento de referencia metodológica. No sustituye la normativa vigente ni las políticas aprobadas por cada institución.</w:t>
      </w:r>
    </w:p>
    <w:p>
      <w:pPr>
        <w:sectPr>
          <w:pgSz w:w="12240" w:h="15840" w:orient="portrait"/>
          <w:pgMar w:top="1440" w:right="1440" w:bottom="1300" w:left="1440" w:header="600" w:footer="600" w:gutter="0"/>
          <w:pgNumType/>
          <w:titlePg/>
          <w:docGrid w:linePitch="360"/>
        </w:sectPr>
      </w:pPr>
    </w:p>
    <w:p>
      <w:pPr>
        <w:keepNext w:val="false"/>
        <w:spacing w:after="200" w:before="0"/>
        <w:jc w:val="left"/>
      </w:pPr>
      <w:r>
        <w:rPr>
          <w:b/>
          <w:bCs/>
          <w:color w:val="1F3864"/>
          <w:sz w:val="34"/>
          <w:szCs w:val="34"/>
        </w:rPr>
        <w:t xml:space="preserve">Índice</w:t>
      </w:r>
    </w:p>
    <w:p>
      <w:pPr>
        <w:keepNext w:val="false"/>
        <w:spacing w:after="120" w:before="0"/>
        <w:jc w:val="both"/>
      </w:pPr>
      <w:r>
        <w:rPr>
          <w:i/>
          <w:iCs/>
          <w:color w:val="595959"/>
          <w:sz w:val="18"/>
          <w:szCs w:val="18"/>
        </w:rPr>
        <w:t xml:space="preserve">Para actualizar el índice en Microsoft Word: clic derecho sobre el índice &gt; «Actualizar campos» &gt; «Actualizar toda la tabla».</w:t>
      </w:r>
    </w:p>
    <w:sdt>
      <w:sdtPr>
        <w:alias w:val="Índice"/>
      </w:sdtPr>
      <w:sdtContent>
        <w:p>
          <w:r>
            <w:fldChar w:fldCharType="begin" w:dirty="true"/>
            <w:instrText xml:space="preserve">TOC \h \o "1-2"</w:instrText>
            <w:fldChar w:fldCharType="separate"/>
          </w:r>
        </w:p>
        <w:p>
          <w:pPr>
            <w:pStyle w:val="TOC1"/>
          </w:pPr>
          <w:r>
            <w:t xml:space="preserve">Presentación</w:t>
          </w:r>
          <w:r>
            <w:tab/>
          </w:r>
          <w:r>
            <w:t>6</w:t>
          </w:r>
        </w:p>
        <w:p>
          <w:pPr>
            <w:pStyle w:val="TOC2"/>
          </w:pPr>
          <w:r>
            <w:t xml:space="preserve">P.1 Objetivo de la guía</w:t>
          </w:r>
          <w:r>
            <w:tab/>
          </w:r>
          <w:r>
            <w:t>6</w:t>
          </w:r>
        </w:p>
        <w:p>
          <w:pPr>
            <w:pStyle w:val="TOC2"/>
          </w:pPr>
          <w:r>
            <w:t xml:space="preserve">P.2 Alcance y advertencias importantes</w:t>
          </w:r>
          <w:r>
            <w:tab/>
          </w:r>
          <w:r>
            <w:t>6</w:t>
          </w:r>
        </w:p>
        <w:p>
          <w:pPr>
            <w:pStyle w:val="TOC2"/>
          </w:pPr>
          <w:r>
            <w:t xml:space="preserve">P.3 Cómo usar esta guía</w:t>
          </w:r>
          <w:r>
            <w:tab/>
          </w:r>
          <w:r>
            <w:t>7</w:t>
          </w:r>
        </w:p>
        <w:p>
          <w:pPr>
            <w:pStyle w:val="TOC2"/>
          </w:pPr>
          <w:r>
            <w:t xml:space="preserve">P.4 Correspondencia con el contenido original</w:t>
          </w:r>
          <w:r>
            <w:tab/>
          </w:r>
          <w:r>
            <w:t>7</w:t>
          </w:r>
        </w:p>
        <w:p>
          <w:pPr>
            <w:pStyle w:val="TOC2"/>
          </w:pPr>
          <w:r>
            <w:t xml:space="preserve">P.5 Marco normativo salvadoreño de referencia</w:t>
          </w:r>
          <w:r>
            <w:tab/>
          </w:r>
          <w:r>
            <w:t>8</w:t>
          </w:r>
        </w:p>
        <w:p>
          <w:pPr>
            <w:pStyle w:val="TOC1"/>
          </w:pPr>
          <w:r>
            <w:t xml:space="preserve">Capítulo 1. Fundamentos e importancia de la evaluación crediticia</w:t>
          </w:r>
          <w:r>
            <w:tab/>
          </w:r>
          <w:r>
            <w:t>13</w:t>
          </w:r>
        </w:p>
        <w:p>
          <w:pPr>
            <w:pStyle w:val="TOC2"/>
          </w:pPr>
          <w:r>
            <w:t xml:space="preserve">1.1 Qué es una evaluación crediticia</w:t>
          </w:r>
          <w:r>
            <w:tab/>
          </w:r>
          <w:r>
            <w:t>13</w:t>
          </w:r>
        </w:p>
        <w:p>
          <w:pPr>
            <w:pStyle w:val="TOC2"/>
          </w:pPr>
          <w:r>
            <w:t xml:space="preserve">1.2 Para qué sirve</w:t>
          </w:r>
          <w:r>
            <w:tab/>
          </w:r>
          <w:r>
            <w:t>13</w:t>
          </w:r>
        </w:p>
        <w:p>
          <w:pPr>
            <w:pStyle w:val="TOC2"/>
          </w:pPr>
          <w:r>
            <w:t xml:space="preserve">1.3 Quiénes participan</w:t>
          </w:r>
          <w:r>
            <w:tab/>
          </w:r>
          <w:r>
            <w:t>13</w:t>
          </w:r>
        </w:p>
        <w:p>
          <w:pPr>
            <w:pStyle w:val="TOC2"/>
          </w:pPr>
          <w:r>
            <w:t xml:space="preserve">1.4 Conceptos básicos que no deben confundirse</w:t>
          </w:r>
          <w:r>
            <w:tab/>
          </w:r>
          <w:r>
            <w:t>14</w:t>
          </w:r>
        </w:p>
        <w:p>
          <w:pPr>
            <w:pStyle w:val="TOC2"/>
          </w:pPr>
          <w:r>
            <w:t xml:space="preserve">1.5 Ejemplos de buenas y malas decisiones</w:t>
          </w:r>
          <w:r>
            <w:tab/>
          </w:r>
          <w:r>
            <w:t>15</w:t>
          </w:r>
        </w:p>
        <w:p>
          <w:pPr>
            <w:pStyle w:val="TOC2"/>
          </w:pPr>
          <w:r>
            <w:t xml:space="preserve">1.6 Consecuencias de una evaluación deficiente</w:t>
          </w:r>
          <w:r>
            <w:tab/>
          </w:r>
          <w:r>
            <w:t>15</w:t>
          </w:r>
        </w:p>
        <w:p>
          <w:pPr>
            <w:pStyle w:val="TOC2"/>
          </w:pPr>
          <w:r>
            <w:t xml:space="preserve">1.7 Principios rectores de esta guía</w:t>
          </w:r>
          <w:r>
            <w:tab/>
          </w:r>
          <w:r>
            <w:t>15</w:t>
          </w:r>
        </w:p>
        <w:p>
          <w:pPr>
            <w:pStyle w:val="TOC1"/>
          </w:pPr>
          <w:r>
            <w:t xml:space="preserve">Capítulo 2. Recepción del expediente y recopilación de información</w:t>
          </w:r>
          <w:r>
            <w:tab/>
          </w:r>
          <w:r>
            <w:t>16</w:t>
          </w:r>
        </w:p>
        <w:p>
          <w:pPr>
            <w:pStyle w:val="TOC2"/>
          </w:pPr>
          <w:r>
            <w:t xml:space="preserve">2.1 El expediente de crédito: qué es y por qué importa</w:t>
          </w:r>
          <w:r>
            <w:tab/>
          </w:r>
          <w:r>
            <w:t>16</w:t>
          </w:r>
        </w:p>
        <w:p>
          <w:pPr>
            <w:pStyle w:val="TOC2"/>
          </w:pPr>
          <w:r>
            <w:t xml:space="preserve">2.2 Clasificación de la documentación</w:t>
          </w:r>
          <w:r>
            <w:tab/>
          </w:r>
          <w:r>
            <w:t>16</w:t>
          </w:r>
        </w:p>
        <w:p>
          <w:pPr>
            <w:pStyle w:val="TOC2"/>
          </w:pPr>
          <w:r>
            <w:t xml:space="preserve">2.3 Información según el tipo de solicitante</w:t>
          </w:r>
          <w:r>
            <w:tab/>
          </w:r>
          <w:r>
            <w:t>16</w:t>
          </w:r>
        </w:p>
        <w:p>
          <w:pPr>
            <w:pStyle w:val="TOC2"/>
          </w:pPr>
          <w:r>
            <w:t xml:space="preserve">2.4 Revisión de identidad y debida diligencia</w:t>
          </w:r>
          <w:r>
            <w:tab/>
          </w:r>
          <w:r>
            <w:t>18</w:t>
          </w:r>
        </w:p>
        <w:p>
          <w:pPr>
            <w:pStyle w:val="TOC2"/>
          </w:pPr>
          <w:r>
            <w:t xml:space="preserve">2.5 Detección de inconsistencias, desactualización y posible fraude</w:t>
          </w:r>
          <w:r>
            <w:tab/>
          </w:r>
          <w:r>
            <w:t>18</w:t>
          </w:r>
        </w:p>
        <w:p>
          <w:pPr>
            <w:pStyle w:val="TOC2"/>
          </w:pPr>
          <w:r>
            <w:t xml:space="preserve">2.6 Lista de verificación documental</w:t>
          </w:r>
          <w:r>
            <w:tab/>
          </w:r>
          <w:r>
            <w:t>18</w:t>
          </w:r>
        </w:p>
        <w:p>
          <w:pPr>
            <w:pStyle w:val="TOC1"/>
          </w:pPr>
          <w:r>
            <w:t xml:space="preserve">Capítulo 3. Recopilación y análisis de información financiera</w:t>
          </w:r>
          <w:r>
            <w:tab/>
          </w:r>
          <w:r>
            <w:t>20</w:t>
          </w:r>
        </w:p>
        <w:p>
          <w:pPr>
            <w:pStyle w:val="TOC2"/>
          </w:pPr>
          <w:r>
            <w:t xml:space="preserve">3.1 Para qué se analiza la información financiera</w:t>
          </w:r>
          <w:r>
            <w:tab/>
          </w:r>
          <w:r>
            <w:t>20</w:t>
          </w:r>
        </w:p>
        <w:p>
          <w:pPr>
            <w:pStyle w:val="TOC2"/>
          </w:pPr>
          <w:r>
            <w:t xml:space="preserve">3.2 Documentos financieros y cómo interpretarlos</w:t>
          </w:r>
          <w:r>
            <w:tab/>
          </w:r>
          <w:r>
            <w:t>20</w:t>
          </w:r>
        </w:p>
        <w:p>
          <w:pPr>
            <w:pStyle w:val="TOC2"/>
          </w:pPr>
          <w:r>
            <w:t xml:space="preserve">3.3 Verificación de coherencia: el triángulo de la evidencia</w:t>
          </w:r>
          <w:r>
            <w:tab/>
          </w:r>
          <w:r>
            <w:t>21</w:t>
          </w:r>
        </w:p>
        <w:p>
          <w:pPr>
            <w:pStyle w:val="TOC2"/>
          </w:pPr>
          <w:r>
            <w:t xml:space="preserve">3.4 Indicadores financieros básicos para personas y negocios</w:t>
          </w:r>
          <w:r>
            <w:tab/>
          </w:r>
          <w:r>
            <w:t>21</w:t>
          </w:r>
        </w:p>
        <w:p>
          <w:pPr>
            <w:pStyle w:val="TOC2"/>
          </w:pPr>
          <w:r>
            <w:t xml:space="preserve">3.5 Gastos del hogar: cómo estimarlos con prudencia</w:t>
          </w:r>
          <w:r>
            <w:tab/>
          </w:r>
          <w:r>
            <w:t>22</w:t>
          </w:r>
        </w:p>
        <w:p>
          <w:pPr>
            <w:pStyle w:val="TOC1"/>
          </w:pPr>
          <w:r>
            <w:t xml:space="preserve">Capítulo 4. Evaluación de la capacidad real de pago</w:t>
          </w:r>
          <w:r>
            <w:tab/>
          </w:r>
          <w:r>
            <w:t>24</w:t>
          </w:r>
        </w:p>
        <w:p>
          <w:pPr>
            <w:pStyle w:val="TOC2"/>
          </w:pPr>
          <w:r>
            <w:t xml:space="preserve">4.1 Idea central</w:t>
          </w:r>
          <w:r>
            <w:tab/>
          </w:r>
          <w:r>
            <w:t>24</w:t>
          </w:r>
        </w:p>
        <w:p>
          <w:pPr>
            <w:pStyle w:val="TOC2"/>
          </w:pPr>
          <w:r>
            <w:t xml:space="preserve">4.2 Componentes del análisis</w:t>
          </w:r>
          <w:r>
            <w:tab/>
          </w:r>
          <w:r>
            <w:t>24</w:t>
          </w:r>
        </w:p>
        <w:p>
          <w:pPr>
            <w:pStyle w:val="TOC2"/>
          </w:pPr>
          <w:r>
            <w:t xml:space="preserve">4.3 Cálculo de la cuota estimada</w:t>
          </w:r>
          <w:r>
            <w:tab/>
          </w:r>
          <w:r>
            <w:t>24</w:t>
          </w:r>
        </w:p>
        <w:p>
          <w:pPr>
            <w:pStyle w:val="TOC2"/>
          </w:pPr>
          <w:r>
            <w:t xml:space="preserve">4.4 Indicadores de capacidad de pago</w:t>
          </w:r>
          <w:r>
            <w:tab/>
          </w:r>
          <w:r>
            <w:t>25</w:t>
          </w:r>
        </w:p>
        <w:p>
          <w:pPr>
            <w:pStyle w:val="TOC2"/>
          </w:pPr>
          <w:r>
            <w:t xml:space="preserve">4.5 Tratamiento de ingresos variables</w:t>
          </w:r>
          <w:r>
            <w:tab/>
          </w:r>
          <w:r>
            <w:t>27</w:t>
          </w:r>
        </w:p>
        <w:p>
          <w:pPr>
            <w:pStyle w:val="TOC2"/>
          </w:pPr>
          <w:r>
            <w:t xml:space="preserve">4.6 Análisis de sensibilidad y escenarios adversos</w:t>
          </w:r>
          <w:r>
            <w:tab/>
          </w:r>
          <w:r>
            <w:t>28</w:t>
          </w:r>
        </w:p>
        <w:p>
          <w:pPr>
            <w:pStyle w:val="TOC2"/>
          </w:pPr>
          <w:r>
            <w:t xml:space="preserve">4.7 Adaptación de las fórmulas al tipo de solicitante</w:t>
          </w:r>
          <w:r>
            <w:tab/>
          </w:r>
          <w:r>
            <w:t>29</w:t>
          </w:r>
        </w:p>
        <w:p>
          <w:pPr>
            <w:pStyle w:val="TOC1"/>
          </w:pPr>
          <w:r>
            <w:t xml:space="preserve">Capítulo 5. Revisión del historial crediticio</w:t>
          </w:r>
          <w:r>
            <w:tab/>
          </w:r>
          <w:r>
            <w:t>30</w:t>
          </w:r>
        </w:p>
        <w:p>
          <w:pPr>
            <w:pStyle w:val="TOC2"/>
          </w:pPr>
          <w:r>
            <w:t xml:space="preserve">5.1 Qué es el historial crediticio y para qué sirve</w:t>
          </w:r>
          <w:r>
            <w:tab/>
          </w:r>
          <w:r>
            <w:t>30</w:t>
          </w:r>
        </w:p>
        <w:p>
          <w:pPr>
            <w:pStyle w:val="TOC2"/>
          </w:pPr>
          <w:r>
            <w:t xml:space="preserve">5.2 Verificaciones permitidas y uso responsable</w:t>
          </w:r>
          <w:r>
            <w:tab/>
          </w:r>
          <w:r>
            <w:t>30</w:t>
          </w:r>
        </w:p>
        <w:p>
          <w:pPr>
            <w:pStyle w:val="TOC2"/>
          </w:pPr>
          <w:r>
            <w:t xml:space="preserve">5.3 Qué analizar en el historial</w:t>
          </w:r>
          <w:r>
            <w:tab/>
          </w:r>
          <w:r>
            <w:t>30</w:t>
          </w:r>
        </w:p>
        <w:p>
          <w:pPr>
            <w:pStyle w:val="TOC2"/>
          </w:pPr>
          <w:r>
            <w:t xml:space="preserve">5.4 Puntuación crediticia frente a evaluación integral</w:t>
          </w:r>
          <w:r>
            <w:tab/>
          </w:r>
          <w:r>
            <w:t>31</w:t>
          </w:r>
        </w:p>
        <w:p>
          <w:pPr>
            <w:pStyle w:val="TOC2"/>
          </w:pPr>
          <w:r>
            <w:t xml:space="preserve">5.5 Señales de alerta</w:t>
          </w:r>
          <w:r>
            <w:tab/>
          </w:r>
          <w:r>
            <w:t>31</w:t>
          </w:r>
        </w:p>
        <w:p>
          <w:pPr>
            <w:pStyle w:val="TOC1"/>
          </w:pPr>
          <w:r>
            <w:t xml:space="preserve">Capítulo 6. Evaluación de la seguridad y las garantías</w:t>
          </w:r>
          <w:r>
            <w:tab/>
          </w:r>
          <w:r>
            <w:t>33</w:t>
          </w:r>
        </w:p>
        <w:p>
          <w:pPr>
            <w:pStyle w:val="TOC2"/>
          </w:pPr>
          <w:r>
            <w:t xml:space="preserve">6.1 Qué es una garantía y cuál es su función</w:t>
          </w:r>
          <w:r>
            <w:tab/>
          </w:r>
          <w:r>
            <w:t>33</w:t>
          </w:r>
        </w:p>
        <w:p>
          <w:pPr>
            <w:pStyle w:val="TOC2"/>
          </w:pPr>
          <w:r>
            <w:t xml:space="preserve">6.2 Tipos de garantía</w:t>
          </w:r>
          <w:r>
            <w:tab/>
          </w:r>
          <w:r>
            <w:t>33</w:t>
          </w:r>
        </w:p>
        <w:p>
          <w:pPr>
            <w:pStyle w:val="TOC2"/>
          </w:pPr>
          <w:r>
            <w:t xml:space="preserve">6.3 Elementos de evaluación de una garantía</w:t>
          </w:r>
          <w:r>
            <w:tab/>
          </w:r>
          <w:r>
            <w:t>33</w:t>
          </w:r>
        </w:p>
        <w:p>
          <w:pPr>
            <w:pStyle w:val="TOC2"/>
          </w:pPr>
          <w:r>
            <w:t xml:space="preserve">6.4 Valor comercial, valor de realización y monto recuperable</w:t>
          </w:r>
          <w:r>
            <w:tab/>
          </w:r>
          <w:r>
            <w:t>34</w:t>
          </w:r>
        </w:p>
        <w:p>
          <w:pPr>
            <w:pStyle w:val="TOC2"/>
          </w:pPr>
          <w:r>
            <w:t xml:space="preserve">6.5 Evaluación del fiador</w:t>
          </w:r>
          <w:r>
            <w:tab/>
          </w:r>
          <w:r>
            <w:t>35</w:t>
          </w:r>
        </w:p>
        <w:p>
          <w:pPr>
            <w:pStyle w:val="TOC2"/>
          </w:pPr>
          <w:r>
            <w:t xml:space="preserve">6.6 Caso breve: garantía suficiente, crédito no recomendable</w:t>
          </w:r>
          <w:r>
            <w:tab/>
          </w:r>
          <w:r>
            <w:t>35</w:t>
          </w:r>
        </w:p>
        <w:p>
          <w:pPr>
            <w:pStyle w:val="TOC2"/>
          </w:pPr>
          <w:r>
            <w:t xml:space="preserve">6.7 Formalización y conservación de la garantía</w:t>
          </w:r>
          <w:r>
            <w:tab/>
          </w:r>
          <w:r>
            <w:t>35</w:t>
          </w:r>
        </w:p>
        <w:p>
          <w:pPr>
            <w:pStyle w:val="TOC1"/>
          </w:pPr>
          <w:r>
            <w:t xml:space="preserve">Capítulo 7. Evaluación de la gestión y las operaciones comerciales</w:t>
          </w:r>
          <w:r>
            <w:tab/>
          </w:r>
          <w:r>
            <w:t>36</w:t>
          </w:r>
        </w:p>
        <w:p>
          <w:pPr>
            <w:pStyle w:val="TOC2"/>
          </w:pPr>
          <w:r>
            <w:t xml:space="preserve">7.1 Por qué analizar el negocio</w:t>
          </w:r>
          <w:r>
            <w:tab/>
          </w:r>
          <w:r>
            <w:t>36</w:t>
          </w:r>
        </w:p>
        <w:p>
          <w:pPr>
            <w:pStyle w:val="TOC2"/>
          </w:pPr>
          <w:r>
            <w:t xml:space="preserve">7.2 Aspectos cualitativos</w:t>
          </w:r>
          <w:r>
            <w:tab/>
          </w:r>
          <w:r>
            <w:t>36</w:t>
          </w:r>
        </w:p>
        <w:p>
          <w:pPr>
            <w:pStyle w:val="TOC2"/>
          </w:pPr>
          <w:r>
            <w:t xml:space="preserve">7.3 Cómo saber si el negocio genera efectivo suficiente</w:t>
          </w:r>
          <w:r>
            <w:tab/>
          </w:r>
          <w:r>
            <w:t>36</w:t>
          </w:r>
        </w:p>
        <w:p>
          <w:pPr>
            <w:pStyle w:val="TOC2"/>
          </w:pPr>
          <w:r>
            <w:t xml:space="preserve">7.4 Ciclo de conversión de efectivo</w:t>
          </w:r>
          <w:r>
            <w:tab/>
          </w:r>
          <w:r>
            <w:t>38</w:t>
          </w:r>
        </w:p>
        <w:p>
          <w:pPr>
            <w:pStyle w:val="TOC2"/>
          </w:pPr>
          <w:r>
            <w:t xml:space="preserve">7.5 Destino del crédito y coherencia con el negocio</w:t>
          </w:r>
          <w:r>
            <w:tab/>
          </w:r>
          <w:r>
            <w:t>38</w:t>
          </w:r>
        </w:p>
        <w:p>
          <w:pPr>
            <w:pStyle w:val="TOC1"/>
          </w:pPr>
          <w:r>
            <w:t xml:space="preserve">Capítulo 8. Factores de industria y económicos</w:t>
          </w:r>
          <w:r>
            <w:tab/>
          </w:r>
          <w:r>
            <w:t>39</w:t>
          </w:r>
        </w:p>
        <w:p>
          <w:pPr>
            <w:pStyle w:val="TOC2"/>
          </w:pPr>
          <w:r>
            <w:t xml:space="preserve">8.1 Por qué el entorno importa</w:t>
          </w:r>
          <w:r>
            <w:tab/>
          </w:r>
          <w:r>
            <w:t>39</w:t>
          </w:r>
        </w:p>
        <w:p>
          <w:pPr>
            <w:pStyle w:val="TOC2"/>
          </w:pPr>
          <w:r>
            <w:t xml:space="preserve">8.2 Factores generales del país frente a riesgos específicos del solicitante</w:t>
          </w:r>
          <w:r>
            <w:tab/>
          </w:r>
          <w:r>
            <w:t>39</w:t>
          </w:r>
        </w:p>
        <w:p>
          <w:pPr>
            <w:pStyle w:val="TOC2"/>
          </w:pPr>
          <w:r>
            <w:t xml:space="preserve">8.3 Indicadores económicos recientes de El Salvador</w:t>
          </w:r>
          <w:r>
            <w:tab/>
          </w:r>
          <w:r>
            <w:t>39</w:t>
          </w:r>
        </w:p>
        <w:p>
          <w:pPr>
            <w:pStyle w:val="TOC2"/>
          </w:pPr>
          <w:r>
            <w:t xml:space="preserve">8.4 Cómo trasladar el entorno al análisis individual</w:t>
          </w:r>
          <w:r>
            <w:tab/>
          </w:r>
          <w:r>
            <w:t>40</w:t>
          </w:r>
        </w:p>
        <w:p>
          <w:pPr>
            <w:pStyle w:val="TOC2"/>
          </w:pPr>
          <w:r>
            <w:t xml:space="preserve">8.5 Concentración sectorial y geográfica</w:t>
          </w:r>
          <w:r>
            <w:tab/>
          </w:r>
          <w:r>
            <w:t>40</w:t>
          </w:r>
        </w:p>
        <w:p>
          <w:pPr>
            <w:pStyle w:val="TOC1"/>
          </w:pPr>
          <w:r>
            <w:t xml:space="preserve">Capítulo 9. Identificación, medición y mitigación de riesgos</w:t>
          </w:r>
          <w:r>
            <w:tab/>
          </w:r>
          <w:r>
            <w:t>42</w:t>
          </w:r>
        </w:p>
        <w:p>
          <w:pPr>
            <w:pStyle w:val="TOC2"/>
          </w:pPr>
          <w:r>
            <w:t xml:space="preserve">9.1 Enfoque metodológico</w:t>
          </w:r>
          <w:r>
            <w:tab/>
          </w:r>
          <w:r>
            <w:t>42</w:t>
          </w:r>
        </w:p>
        <w:p>
          <w:pPr>
            <w:pStyle w:val="TOC2"/>
          </w:pPr>
          <w:r>
            <w:t xml:space="preserve">9.2 Riesgos que deben evaluarse como mínimo</w:t>
          </w:r>
          <w:r>
            <w:tab/>
          </w:r>
          <w:r>
            <w:t>42</w:t>
          </w:r>
        </w:p>
        <w:p>
          <w:pPr>
            <w:pStyle w:val="TOC2"/>
          </w:pPr>
          <w:r>
            <w:t xml:space="preserve">9.3 Escalas propuestas de probabilidad e impacto</w:t>
          </w:r>
          <w:r>
            <w:tab/>
          </w:r>
          <w:r>
            <w:t>42</w:t>
          </w:r>
        </w:p>
        <w:p>
          <w:pPr>
            <w:pStyle w:val="TOC2"/>
          </w:pPr>
          <w:r>
            <w:t xml:space="preserve">9.4 Cálculo de la clasificación</w:t>
          </w:r>
          <w:r>
            <w:tab/>
          </w:r>
          <w:r>
            <w:t>43</w:t>
          </w:r>
        </w:p>
        <w:p>
          <w:pPr>
            <w:pStyle w:val="TOC2"/>
          </w:pPr>
          <w:r>
            <w:t xml:space="preserve">9.5 Cómo calificar la eficacia del control</w:t>
          </w:r>
          <w:r>
            <w:tab/>
          </w:r>
          <w:r>
            <w:t>44</w:t>
          </w:r>
        </w:p>
        <w:p>
          <w:pPr>
            <w:pStyle w:val="TOC1"/>
          </w:pPr>
          <w:r>
            <w:t xml:space="preserve">9.6 Matriz de evaluación de riesgos de una operación (ejemplo ficticio)</w:t>
          </w:r>
          <w:r>
            <w:tab/>
          </w:r>
          <w:r>
            <w:t>45</w:t>
          </w:r>
        </w:p>
        <w:p>
          <w:pPr>
            <w:pStyle w:val="TOC2"/>
          </w:pPr>
          <w:r>
            <w:t xml:space="preserve">9.7 Mitigación: opciones disponibles</w:t>
          </w:r>
          <w:r>
            <w:tab/>
          </w:r>
          <w:r>
            <w:t>47</w:t>
          </w:r>
        </w:p>
        <w:p>
          <w:pPr>
            <w:pStyle w:val="TOC1"/>
          </w:pPr>
          <w:r>
            <w:t xml:space="preserve">Capítulo 10. Cálculo de la solvencia y clasificación crediticia</w:t>
          </w:r>
          <w:r>
            <w:tab/>
          </w:r>
          <w:r>
            <w:t>48</w:t>
          </w:r>
        </w:p>
        <w:p>
          <w:pPr>
            <w:pStyle w:val="TOC2"/>
          </w:pPr>
          <w:r>
            <w:t xml:space="preserve">10.1 Propósito</w:t>
          </w:r>
          <w:r>
            <w:tab/>
          </w:r>
          <w:r>
            <w:t>48</w:t>
          </w:r>
        </w:p>
        <w:p>
          <w:pPr>
            <w:pStyle w:val="TOC2"/>
          </w:pPr>
          <w:r>
            <w:t xml:space="preserve">10.2 Herramientas disponibles</w:t>
          </w:r>
          <w:r>
            <w:tab/>
          </w:r>
          <w:r>
            <w:t>48</w:t>
          </w:r>
        </w:p>
        <w:p>
          <w:pPr>
            <w:pStyle w:val="TOC2"/>
          </w:pPr>
          <w:r>
            <w:t xml:space="preserve">10.3 Matriz de puntuación propuesta</w:t>
          </w:r>
          <w:r>
            <w:tab/>
          </w:r>
          <w:r>
            <w:t>48</w:t>
          </w:r>
        </w:p>
        <w:p>
          <w:pPr>
            <w:pStyle w:val="TOC2"/>
          </w:pPr>
          <w:r>
            <w:t xml:space="preserve">10.4 Ejemplo calculado</w:t>
          </w:r>
          <w:r>
            <w:tab/>
          </w:r>
          <w:r>
            <w:t>50</w:t>
          </w:r>
        </w:p>
        <w:p>
          <w:pPr>
            <w:pStyle w:val="TOC2"/>
          </w:pPr>
          <w:r>
            <w:t xml:space="preserve">10.5 Riesgos críticos que no deben quedar ocultos</w:t>
          </w:r>
          <w:r>
            <w:tab/>
          </w:r>
          <w:r>
            <w:t>50</w:t>
          </w:r>
        </w:p>
        <w:p>
          <w:pPr>
            <w:pStyle w:val="TOC2"/>
          </w:pPr>
          <w:r>
            <w:t xml:space="preserve">10.6 Limitaciones del modelo y validación</w:t>
          </w:r>
          <w:r>
            <w:tab/>
          </w:r>
          <w:r>
            <w:t>51</w:t>
          </w:r>
        </w:p>
        <w:p>
          <w:pPr>
            <w:pStyle w:val="TOC1"/>
          </w:pPr>
          <w:r>
            <w:t xml:space="preserve">Capítulo 11. Elaboración del informe crediticio</w:t>
          </w:r>
          <w:r>
            <w:tab/>
          </w:r>
          <w:r>
            <w:t>52</w:t>
          </w:r>
        </w:p>
        <w:p>
          <w:pPr>
            <w:pStyle w:val="TOC2"/>
          </w:pPr>
          <w:r>
            <w:t xml:space="preserve">11.1 Finalidad del informe</w:t>
          </w:r>
          <w:r>
            <w:tab/>
          </w:r>
          <w:r>
            <w:t>52</w:t>
          </w:r>
        </w:p>
        <w:p>
          <w:pPr>
            <w:pStyle w:val="TOC2"/>
          </w:pPr>
          <w:r>
            <w:t xml:space="preserve">11.2 Estructura recomendada</w:t>
          </w:r>
          <w:r>
            <w:tab/>
          </w:r>
          <w:r>
            <w:t>52</w:t>
          </w:r>
        </w:p>
        <w:p>
          <w:pPr>
            <w:pStyle w:val="TOC2"/>
          </w:pPr>
          <w:r>
            <w:t xml:space="preserve">11.3 Reglas de redacción</w:t>
          </w:r>
          <w:r>
            <w:tab/>
          </w:r>
          <w:r>
            <w:t>52</w:t>
          </w:r>
        </w:p>
        <w:p>
          <w:pPr>
            <w:pStyle w:val="TOC2"/>
          </w:pPr>
          <w:r>
            <w:t xml:space="preserve">11.4 Informe completo de ejemplo</w:t>
          </w:r>
          <w:r>
            <w:tab/>
          </w:r>
          <w:r>
            <w:t>53</w:t>
          </w:r>
        </w:p>
        <w:p>
          <w:pPr>
            <w:pStyle w:val="TOC1"/>
          </w:pPr>
          <w:r>
            <w:t xml:space="preserve">Capítulo 12. Documentación, trazabilidad y control interno</w:t>
          </w:r>
          <w:r>
            <w:tab/>
          </w:r>
          <w:r>
            <w:t>56</w:t>
          </w:r>
        </w:p>
        <w:p>
          <w:pPr>
            <w:pStyle w:val="TOC2"/>
          </w:pPr>
          <w:r>
            <w:t xml:space="preserve">12.1 Qué significa trazabilidad</w:t>
          </w:r>
          <w:r>
            <w:tab/>
          </w:r>
          <w:r>
            <w:t>56</w:t>
          </w:r>
        </w:p>
        <w:p>
          <w:pPr>
            <w:pStyle w:val="TOC2"/>
          </w:pPr>
          <w:r>
            <w:t xml:space="preserve">12.2 Elementos de un expediente trazable</w:t>
          </w:r>
          <w:r>
            <w:tab/>
          </w:r>
          <w:r>
            <w:t>56</w:t>
          </w:r>
        </w:p>
        <w:p>
          <w:pPr>
            <w:pStyle w:val="TOC2"/>
          </w:pPr>
          <w:r>
            <w:t xml:space="preserve">12.3 Segregación de funciones</w:t>
          </w:r>
          <w:r>
            <w:tab/>
          </w:r>
          <w:r>
            <w:t>57</w:t>
          </w:r>
        </w:p>
        <w:p>
          <w:pPr>
            <w:pStyle w:val="TOC2"/>
          </w:pPr>
          <w:r>
            <w:t xml:space="preserve">12.4 Prevención de decisiones sin sustento</w:t>
          </w:r>
          <w:r>
            <w:tab/>
          </w:r>
          <w:r>
            <w:t>57</w:t>
          </w:r>
        </w:p>
        <w:p>
          <w:pPr>
            <w:pStyle w:val="TOC2"/>
          </w:pPr>
          <w:r>
            <w:t xml:space="preserve">12.5 Prevención de pérdida de información</w:t>
          </w:r>
          <w:r>
            <w:tab/>
          </w:r>
          <w:r>
            <w:t>57</w:t>
          </w:r>
        </w:p>
        <w:p>
          <w:pPr>
            <w:pStyle w:val="TOC1"/>
          </w:pPr>
          <w:r>
            <w:t xml:space="preserve">Capítulo 13. Decisión, formalización y desembolso</w:t>
          </w:r>
          <w:r>
            <w:tab/>
          </w:r>
          <w:r>
            <w:t>58</w:t>
          </w:r>
        </w:p>
        <w:p>
          <w:pPr>
            <w:pStyle w:val="TOC2"/>
          </w:pPr>
          <w:r>
            <w:t xml:space="preserve">13.1 Cuatro actos distintos</w:t>
          </w:r>
          <w:r>
            <w:tab/>
          </w:r>
          <w:r>
            <w:t>58</w:t>
          </w:r>
        </w:p>
        <w:p>
          <w:pPr>
            <w:pStyle w:val="TOC2"/>
          </w:pPr>
          <w:r>
            <w:t xml:space="preserve">13.2 Revisión previa a la aprobación</w:t>
          </w:r>
          <w:r>
            <w:tab/>
          </w:r>
          <w:r>
            <w:t>58</w:t>
          </w:r>
        </w:p>
        <w:p>
          <w:pPr>
            <w:pStyle w:val="TOC2"/>
          </w:pPr>
          <w:r>
            <w:t xml:space="preserve">13.3 Revisión previa a la formalización</w:t>
          </w:r>
          <w:r>
            <w:tab/>
          </w:r>
          <w:r>
            <w:t>58</w:t>
          </w:r>
        </w:p>
        <w:p>
          <w:pPr>
            <w:pStyle w:val="TOC2"/>
          </w:pPr>
          <w:r>
            <w:t xml:space="preserve">13.4 Controles previos al desembolso</w:t>
          </w:r>
          <w:r>
            <w:tab/>
          </w:r>
          <w:r>
            <w:t>59</w:t>
          </w:r>
        </w:p>
        <w:p>
          <w:pPr>
            <w:pStyle w:val="TOC1"/>
          </w:pPr>
          <w:r>
            <w:t xml:space="preserve">Capítulo 14. Seguimiento y revisión del desempeño crediticio</w:t>
          </w:r>
          <w:r>
            <w:tab/>
          </w:r>
          <w:r>
            <w:t>60</w:t>
          </w:r>
        </w:p>
        <w:p>
          <w:pPr>
            <w:pStyle w:val="TOC2"/>
          </w:pPr>
          <w:r>
            <w:t xml:space="preserve">14.1 Por qué el seguimiento es parte de la evaluación</w:t>
          </w:r>
          <w:r>
            <w:tab/>
          </w:r>
          <w:r>
            <w:t>60</w:t>
          </w:r>
        </w:p>
        <w:p>
          <w:pPr>
            <w:pStyle w:val="TOC2"/>
          </w:pPr>
          <w:r>
            <w:t xml:space="preserve">14.2 Qué se monitorea</w:t>
          </w:r>
          <w:r>
            <w:tab/>
          </w:r>
          <w:r>
            <w:t>60</w:t>
          </w:r>
        </w:p>
        <w:p>
          <w:pPr>
            <w:pStyle w:val="TOC2"/>
          </w:pPr>
          <w:r>
            <w:t xml:space="preserve">14.3 Indicadores de seguimiento</w:t>
          </w:r>
          <w:r>
            <w:tab/>
          </w:r>
          <w:r>
            <w:t>60</w:t>
          </w:r>
        </w:p>
        <w:p>
          <w:pPr>
            <w:pStyle w:val="TOC2"/>
          </w:pPr>
          <w:r>
            <w:t xml:space="preserve">14.4 Alertas tempranas</w:t>
          </w:r>
          <w:r>
            <w:tab/>
          </w:r>
          <w:r>
            <w:t>62</w:t>
          </w:r>
        </w:p>
        <w:p>
          <w:pPr>
            <w:pStyle w:val="TOC2"/>
          </w:pPr>
          <w:r>
            <w:t xml:space="preserve">14.5 Comunicación con el cliente y gestión preventiva</w:t>
          </w:r>
          <w:r>
            <w:tab/>
          </w:r>
          <w:r>
            <w:t>62</w:t>
          </w:r>
        </w:p>
        <w:p>
          <w:pPr>
            <w:pStyle w:val="TOC2"/>
          </w:pPr>
          <w:r>
            <w:t xml:space="preserve">14.6 Escalamiento y gestión de mora</w:t>
          </w:r>
          <w:r>
            <w:tab/>
          </w:r>
          <w:r>
            <w:t>62</w:t>
          </w:r>
        </w:p>
        <w:p>
          <w:pPr>
            <w:pStyle w:val="TOC2"/>
          </w:pPr>
          <w:r>
            <w:t xml:space="preserve">14.7 Retroalimentación a la originación</w:t>
          </w:r>
          <w:r>
            <w:tab/>
          </w:r>
          <w:r>
            <w:t>63</w:t>
          </w:r>
        </w:p>
        <w:p>
          <w:pPr>
            <w:pStyle w:val="TOC1"/>
          </w:pPr>
          <w:r>
            <w:t xml:space="preserve">Capítulo 15. Errores frecuentes y buenas prácticas</w:t>
          </w:r>
          <w:r>
            <w:tab/>
          </w:r>
          <w:r>
            <w:t>64</w:t>
          </w:r>
        </w:p>
        <w:p>
          <w:pPr>
            <w:pStyle w:val="TOC2"/>
          </w:pPr>
          <w:r>
            <w:t xml:space="preserve">15.1 Matriz de errores frecuentes</w:t>
          </w:r>
          <w:r>
            <w:tab/>
          </w:r>
          <w:r>
            <w:t>64</w:t>
          </w:r>
        </w:p>
        <w:p>
          <w:pPr>
            <w:pStyle w:val="TOC2"/>
          </w:pPr>
          <w:r>
            <w:t xml:space="preserve">15.2 Desarrollo de los errores más críticos</w:t>
          </w:r>
          <w:r>
            <w:tab/>
          </w:r>
          <w:r>
            <w:t>64</w:t>
          </w:r>
        </w:p>
        <w:p>
          <w:pPr>
            <w:pStyle w:val="TOC2"/>
          </w:pPr>
          <w:r>
            <w:t xml:space="preserve">15.3 Decálogo de buenas prácticas</w:t>
          </w:r>
          <w:r>
            <w:tab/>
          </w:r>
          <w:r>
            <w:t>66</w:t>
          </w:r>
        </w:p>
        <w:p>
          <w:pPr>
            <w:pStyle w:val="TOC1"/>
          </w:pPr>
          <w:r>
            <w:t xml:space="preserve">Capítulo 16. Casos prácticos completos de El Salvador</w:t>
          </w:r>
          <w:r>
            <w:tab/>
          </w:r>
          <w:r>
            <w:t>67</w:t>
          </w:r>
        </w:p>
        <w:p>
          <w:pPr>
            <w:pStyle w:val="TOC2"/>
          </w:pPr>
          <w:r>
            <w:t xml:space="preserve">16.1 Caso 1: persona asalariada que solicita crédito de consumo</w:t>
          </w:r>
          <w:r>
            <w:tab/>
          </w:r>
          <w:r>
            <w:t>67</w:t>
          </w:r>
        </w:p>
        <w:p>
          <w:pPr>
            <w:pStyle w:val="TOC2"/>
          </w:pPr>
          <w:r>
            <w:t xml:space="preserve">16.2 Caso 2: profesional independiente con ingresos variables</w:t>
          </w:r>
          <w:r>
            <w:tab/>
          </w:r>
          <w:r>
            <w:t>68</w:t>
          </w:r>
        </w:p>
        <w:p>
          <w:pPr>
            <w:pStyle w:val="TOC2"/>
          </w:pPr>
          <w:r>
            <w:t xml:space="preserve">16.3 Caso 3: solicitante con varias obligaciones financieras vigentes</w:t>
          </w:r>
          <w:r>
            <w:tab/>
          </w:r>
          <w:r>
            <w:t>70</w:t>
          </w:r>
        </w:p>
        <w:p>
          <w:pPr>
            <w:pStyle w:val="TOC2"/>
          </w:pPr>
          <w:r>
            <w:t xml:space="preserve">16.4 Caso 4: garantía aparentemente suficiente, capacidad de pago insuficiente</w:t>
          </w:r>
          <w:r>
            <w:tab/>
          </w:r>
          <w:r>
            <w:t>71</w:t>
          </w:r>
        </w:p>
        <w:p>
          <w:pPr>
            <w:pStyle w:val="TOC2"/>
          </w:pPr>
          <w:r>
            <w:t xml:space="preserve">16.5 Comparación de resultados</w:t>
          </w:r>
          <w:r>
            <w:tab/>
          </w:r>
          <w:r>
            <w:t>73</w:t>
          </w:r>
        </w:p>
        <w:p>
          <w:pPr>
            <w:pStyle w:val="TOC1"/>
          </w:pPr>
          <w:r>
            <w:t xml:space="preserve">Capítulo 17. Herramientas, formatos y anexos</w:t>
          </w:r>
          <w:r>
            <w:tab/>
          </w:r>
          <w:r>
            <w:t>74</w:t>
          </w:r>
        </w:p>
        <w:p>
          <w:pPr>
            <w:pStyle w:val="TOC1"/>
          </w:pPr>
          <w:r>
            <w:t xml:space="preserve">Capítulo 18. Conclusiones y recomendaciones</w:t>
          </w:r>
          <w:r>
            <w:tab/>
          </w:r>
          <w:r>
            <w:t>76</w:t>
          </w:r>
        </w:p>
        <w:p>
          <w:pPr>
            <w:pStyle w:val="TOC2"/>
          </w:pPr>
          <w:r>
            <w:t xml:space="preserve">18.1 Conclusiones</w:t>
          </w:r>
          <w:r>
            <w:tab/>
          </w:r>
          <w:r>
            <w:t>76</w:t>
          </w:r>
        </w:p>
        <w:p>
          <w:pPr>
            <w:pStyle w:val="TOC2"/>
          </w:pPr>
          <w:r>
            <w:t xml:space="preserve">18.2 Recomendaciones generales (aplicables sin cambios de política)</w:t>
          </w:r>
          <w:r>
            <w:tab/>
          </w:r>
          <w:r>
            <w:t>76</w:t>
          </w:r>
        </w:p>
        <w:p>
          <w:pPr>
            <w:pStyle w:val="TOC2"/>
          </w:pPr>
          <w:r>
            <w:t xml:space="preserve">18.3 Recomendaciones que requieren aprobación institucional</w:t>
          </w:r>
          <w:r>
            <w:tab/>
          </w:r>
          <w:r>
            <w:t>77</w:t>
          </w:r>
        </w:p>
        <w:p>
          <w:pPr>
            <w:pStyle w:val="TOC2"/>
          </w:pPr>
          <w:r>
            <w:t xml:space="preserve">18.4 Mejora continua</w:t>
          </w:r>
          <w:r>
            <w:tab/>
          </w:r>
          <w:r>
            <w:t>77</w:t>
          </w:r>
        </w:p>
        <w:p>
          <w:pPr>
            <w:pStyle w:val="TOC1"/>
          </w:pPr>
          <w:r>
            <w:t xml:space="preserve">Anexo A. Lista de verificación documental</w:t>
          </w:r>
          <w:r>
            <w:tab/>
          </w:r>
          <w:r>
            <w:t>78</w:t>
          </w:r>
        </w:p>
        <w:p>
          <w:pPr>
            <w:pStyle w:val="TOC1"/>
          </w:pPr>
          <w:r>
            <w:t xml:space="preserve">Anexo B. Formato de análisis de ingresos y gastos</w:t>
          </w:r>
          <w:r>
            <w:tab/>
          </w:r>
          <w:r>
            <w:t>79</w:t>
          </w:r>
        </w:p>
        <w:p>
          <w:pPr>
            <w:pStyle w:val="TOC1"/>
          </w:pPr>
          <w:r>
            <w:t xml:space="preserve">Anexo C. Hoja de cálculo de capacidad de pago</w:t>
          </w:r>
          <w:r>
            <w:tab/>
          </w:r>
          <w:r>
            <w:t>80</w:t>
          </w:r>
        </w:p>
        <w:p>
          <w:pPr>
            <w:pStyle w:val="TOC1"/>
          </w:pPr>
          <w:r>
            <w:t xml:space="preserve">Anexo D. Matriz de evaluación de riesgos (formato editable)</w:t>
          </w:r>
          <w:r>
            <w:tab/>
          </w:r>
          <w:r>
            <w:t>81</w:t>
          </w:r>
        </w:p>
        <w:p>
          <w:pPr>
            <w:pStyle w:val="TOC1"/>
          </w:pPr>
          <w:r>
            <w:t xml:space="preserve">Anexo E. Formato de análisis de garantías</w:t>
          </w:r>
          <w:r>
            <w:tab/>
          </w:r>
          <w:r>
            <w:t>82</w:t>
          </w:r>
        </w:p>
        <w:p>
          <w:pPr>
            <w:pStyle w:val="TOC1"/>
          </w:pPr>
          <w:r>
            <w:t xml:space="preserve">Anexo F. Lista de señales de alerta</w:t>
          </w:r>
          <w:r>
            <w:tab/>
          </w:r>
          <w:r>
            <w:t>83</w:t>
          </w:r>
        </w:p>
        <w:p>
          <w:pPr>
            <w:pStyle w:val="TOC1"/>
          </w:pPr>
          <w:r>
            <w:t xml:space="preserve">Anexo G. Informe de evaluación crediticia (formato)</w:t>
          </w:r>
          <w:r>
            <w:tab/>
          </w:r>
          <w:r>
            <w:t>84</w:t>
          </w:r>
        </w:p>
        <w:p>
          <w:pPr>
            <w:pStyle w:val="TOC1"/>
          </w:pPr>
          <w:r>
            <w:t xml:space="preserve">Anexo H. Lista de verificación previa a la aprobación</w:t>
          </w:r>
          <w:r>
            <w:tab/>
          </w:r>
          <w:r>
            <w:t>85</w:t>
          </w:r>
        </w:p>
        <w:p>
          <w:pPr>
            <w:pStyle w:val="TOC1"/>
          </w:pPr>
          <w:r>
            <w:t xml:space="preserve">Anexo I. Lista de verificación previa al desembolso</w:t>
          </w:r>
          <w:r>
            <w:tab/>
          </w:r>
          <w:r>
            <w:t>86</w:t>
          </w:r>
        </w:p>
        <w:p>
          <w:pPr>
            <w:pStyle w:val="TOC1"/>
          </w:pPr>
          <w:r>
            <w:t xml:space="preserve">Anexo J. Formato de seguimiento del crédito</w:t>
          </w:r>
          <w:r>
            <w:tab/>
          </w:r>
          <w:r>
            <w:t>87</w:t>
          </w:r>
        </w:p>
        <w:p>
          <w:pPr>
            <w:pStyle w:val="TOC1"/>
          </w:pPr>
          <w:r>
            <w:t xml:space="preserve">Anexo K. Matriz de documentación y trazabilidad</w:t>
          </w:r>
          <w:r>
            <w:tab/>
          </w:r>
          <w:r>
            <w:t>88</w:t>
          </w:r>
        </w:p>
        <w:p>
          <w:pPr>
            <w:pStyle w:val="TOC1"/>
          </w:pPr>
          <w:r>
            <w:t xml:space="preserve">Anexo L. Glosario de términos financieros, jurídicos y de riesgo</w:t>
          </w:r>
          <w:r>
            <w:tab/>
          </w:r>
          <w:r>
            <w:t>89</w:t>
          </w:r>
        </w:p>
        <w:p>
          <w:pPr>
            <w:pStyle w:val="TOC1"/>
          </w:pPr>
          <w:r>
            <w:t xml:space="preserve">Anexo M. Referencias normativas y fuentes consultadas</w:t>
          </w:r>
          <w:r>
            <w:tab/>
          </w:r>
          <w:r>
            <w:t>91</w:t>
          </w:r>
        </w:p>
        <w:p>
          <w:pPr>
            <w:pStyle w:val="TOC1"/>
          </w:pPr>
          <w:r>
            <w:t xml:space="preserve">Anexo N. Control de calidad de esta guía</w:t>
          </w:r>
          <w:r>
            <w:tab/>
          </w:r>
          <w:r>
            <w:t>92</w:t>
          </w:r>
        </w:p>
        <w:p>
          <w:r>
            <w:fldChar w:fldCharType="end"/>
          </w:r>
        </w:p>
      </w:sdtContent>
    </w:sdt>
    <w:p>
      <w:pPr>
        <w:sectPr>
          <w:headerReference w:type="default" r:id="rId7"/>
          <w:footerReference w:type="default" r:id="rId8"/>
          <w:type w:val="nextPage"/>
          <w:pgSz w:w="12240" w:h="15840" w:orient="portrait"/>
          <w:pgMar w:top="1440" w:right="1440" w:bottom="1300" w:left="1440" w:header="600" w:footer="600" w:gutter="0"/>
          <w:pgNumType/>
          <w:docGrid w:linePitch="360"/>
        </w:sectPr>
      </w:pPr>
    </w:p>
    <w:p>
      <w:pPr>
        <w:pStyle w:val="Heading1"/>
      </w:pPr>
      <w:r>
        <w:t xml:space="preserve">Presentación</w:t>
      </w:r>
    </w:p>
    <w:p>
      <w:pPr>
        <w:keepNext w:val="false"/>
        <w:spacing w:after="120" w:before="0"/>
        <w:jc w:val="both"/>
      </w:pPr>
      <w:r>
        <w:t xml:space="preserve">Esta guía explica, de forma ordenada y verificable, cómo evaluar una solicitud de crédito desde que se recibe el expediente hasta el seguimiento posterior al desembolso. Está pensada para analistas de crédito, oficiales de negocio, jefaturas de riesgo, comités de crédito, auditores internos, personal de cumplimiento y también para personas sin formación financiera que necesitan comprender por qué una operación se recomienda, se condiciona o se rechaza.</w:t>
      </w:r>
    </w:p>
    <w:p>
      <w:pPr>
        <w:keepNext w:val="false"/>
        <w:spacing w:after="120" w:before="0"/>
        <w:jc w:val="both"/>
      </w:pPr>
      <w:r>
        <w:t xml:space="preserve">El contenido está adaptado a la realidad de El Salvador: economía dolarizada (todos los ejemplos están expresados en dólares de los Estados Unidos, US$), un sistema financiero supervisado por la Superintendencia del Sistema Financiero (SSF), un marco regulatorio prudencial emitido por el Banco Central de Reserva (BCR) a través de su Comité de Normas, y un universo de entidades crediticias muy diverso: bancos, bancos cooperativos, sociedades de ahorro y crédito, cooperativas supervisadas por el Instituto Salvadoreño de Fomento Cooperativo (INSAFOCOOP), instituciones de microfinanzas y otros acreedores no bancarios.</w:t>
      </w:r>
    </w:p>
    <w:p>
      <w:pPr>
        <w:pStyle w:val="Heading2"/>
        <w:keepNext/>
      </w:pPr>
      <w:r>
        <w:t xml:space="preserve">P.1 Objetivo de la guía</w:t>
      </w:r>
    </w:p>
    <w:p>
      <w:pPr>
        <w:pStyle w:val="ListParagraph"/>
        <w:numPr>
          <w:ilvl w:val="0"/>
          <w:numId w:val="2"/>
        </w:numPr>
        <w:spacing w:after="60"/>
        <w:jc w:val="left"/>
      </w:pPr>
      <w:r>
        <w:t xml:space="preserve">Ofrecer una </w:t>
      </w:r>
      <w:r>
        <w:rPr>
          <w:b/>
          <w:bCs/>
        </w:rPr>
        <w:t xml:space="preserve">metodología integral</w:t>
      </w:r>
      <w:r>
        <w:t xml:space="preserve"> de evaluación crediticia que combine capacidad de pago, voluntad de pago, historial, garantías, entorno económico, riesgos y documentación.</w:t>
      </w:r>
    </w:p>
    <w:p>
      <w:pPr>
        <w:pStyle w:val="ListParagraph"/>
        <w:numPr>
          <w:ilvl w:val="0"/>
          <w:numId w:val="2"/>
        </w:numPr>
        <w:spacing w:after="60"/>
        <w:jc w:val="left"/>
      </w:pPr>
      <w:r>
        <w:t xml:space="preserve">Explicar cada concepto con </w:t>
      </w:r>
      <w:r>
        <w:rPr>
          <w:b/>
          <w:bCs/>
        </w:rPr>
        <w:t xml:space="preserve">lenguaje sencillo</w:t>
      </w:r>
      <w:r>
        <w:t xml:space="preserve">, fórmula, ejemplo numérico, interpretación, errores frecuentes y efecto sobre la decisión.</w:t>
      </w:r>
    </w:p>
    <w:p>
      <w:pPr>
        <w:pStyle w:val="ListParagraph"/>
        <w:numPr>
          <w:ilvl w:val="0"/>
          <w:numId w:val="2"/>
        </w:numPr>
        <w:spacing w:after="60"/>
        <w:jc w:val="left"/>
      </w:pPr>
      <w:r>
        <w:t xml:space="preserve">Diferenciar con claridad las </w:t>
      </w:r>
      <w:r>
        <w:rPr>
          <w:b/>
          <w:bCs/>
        </w:rPr>
        <w:t xml:space="preserve">obligaciones legales</w:t>
      </w:r>
      <w:r>
        <w:t xml:space="preserve">, las </w:t>
      </w:r>
      <w:r>
        <w:rPr>
          <w:b/>
          <w:bCs/>
        </w:rPr>
        <w:t xml:space="preserve">disposiciones prudenciales</w:t>
      </w:r>
      <w:r>
        <w:t xml:space="preserve">, las </w:t>
      </w:r>
      <w:r>
        <w:rPr>
          <w:b/>
          <w:bCs/>
        </w:rPr>
        <w:t xml:space="preserve">políticas internas</w:t>
      </w:r>
      <w:r>
        <w:t xml:space="preserve"> y las </w:t>
      </w:r>
      <w:r>
        <w:rPr>
          <w:b/>
          <w:bCs/>
        </w:rPr>
        <w:t xml:space="preserve">buenas prácticas</w:t>
      </w:r>
      <w:r>
        <w:t xml:space="preserve">.</w:t>
      </w:r>
    </w:p>
    <w:p>
      <w:pPr>
        <w:pStyle w:val="ListParagraph"/>
        <w:numPr>
          <w:ilvl w:val="0"/>
          <w:numId w:val="2"/>
        </w:numPr>
        <w:spacing w:after="60"/>
        <w:jc w:val="left"/>
      </w:pPr>
      <w:r>
        <w:t xml:space="preserve">Proporcionar </w:t>
      </w:r>
      <w:r>
        <w:rPr>
          <w:b/>
          <w:bCs/>
        </w:rPr>
        <w:t xml:space="preserve">herramientas reutilizables</w:t>
      </w:r>
      <w:r>
        <w:t xml:space="preserve">: listas de verificación, formatos, matrices y un modelo de informe.</w:t>
      </w:r>
    </w:p>
    <w:p>
      <w:pPr>
        <w:pStyle w:val="ListParagraph"/>
        <w:numPr>
          <w:ilvl w:val="0"/>
          <w:numId w:val="2"/>
        </w:numPr>
        <w:spacing w:after="60"/>
        <w:jc w:val="left"/>
      </w:pPr>
      <w:r>
        <w:t xml:space="preserve">Favorecer la </w:t>
      </w:r>
      <w:r>
        <w:rPr>
          <w:b/>
          <w:bCs/>
        </w:rPr>
        <w:t xml:space="preserve">trazabilidad</w:t>
      </w:r>
      <w:r>
        <w:t xml:space="preserve">: que cualquier revisor pueda reconstruir el análisis y llegar a la misma conclusión con la misma evidencia.</w:t>
      </w:r>
    </w:p>
    <w:p>
      <w:pPr>
        <w:pStyle w:val="Heading2"/>
        <w:keepNext/>
      </w:pPr>
      <w:r>
        <w:t xml:space="preserve">P.2 Alcance y advertencias importantes</w:t>
      </w:r>
    </w:p>
    <w:p>
      <w:pPr>
        <w:keepNext w:val="false"/>
        <w:spacing w:after="120" w:before="0"/>
        <w:jc w:val="both"/>
      </w:pPr>
      <w:r>
        <w:t xml:space="preserve">La guía es un documento de referencia metodológica. </w:t>
      </w:r>
      <w:r>
        <w:rPr>
          <w:b/>
          <w:bCs/>
        </w:rPr>
        <w:t xml:space="preserve">No sustituye</w:t>
      </w:r>
      <w:r>
        <w:t xml:space="preserve"> la normativa aplicable, las políticas aprobadas por la Junta Directiva u órgano equivalente de cada institución, ni la opinión de asesores legales. Antes de implementar cualquier parámetro aquí propuesto (rangos de endeudamiento, ponderaciones, escalas, umbrales), la institución debe validarlo con su propia información histórica y aprobarlo por las instancias que correspondan.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B23B2A" w:sz="4"/>
              <w:left w:val="single" w:color="B23B2A" w:sz="24"/>
              <w:bottom w:val="single" w:color="B23B2A" w:sz="4"/>
              <w:right w:val="single" w:color="B23B2A" w:sz="4"/>
            </w:tcBorders>
            <w:shd w:fill="FBE9E7" w:color="auto" w:val="clear"/>
            <w:tcMar>
              <w:top w:type="dxa" w:w="100"/>
              <w:left w:type="dxa" w:w="180"/>
              <w:bottom w:type="dxa" w:w="100"/>
              <w:right w:type="dxa" w:w="180"/>
            </w:tcMar>
          </w:tcPr>
          <w:p>
            <w:pPr>
              <w:spacing w:after="60"/>
            </w:pPr>
            <w:r>
              <w:rPr>
                <w:b/>
                <w:bCs/>
                <w:color w:val="B23B2A"/>
                <w:sz w:val="20"/>
                <w:szCs w:val="20"/>
              </w:rPr>
              <w:t xml:space="preserve">Advertencias de uso</w:t>
            </w:r>
          </w:p>
          <w:p>
            <w:pPr>
              <w:spacing w:after="50"/>
              <w:jc w:val="left"/>
            </w:pPr>
            <w:r>
              <w:rPr>
                <w:b/>
                <w:bCs/>
                <w:sz w:val="20"/>
                <w:szCs w:val="20"/>
              </w:rPr>
              <w:t xml:space="preserve">Todos los nombres, cifras, casos e informes de ejemplo de esta guía son ficticios</w:t>
            </w:r>
            <w:r>
              <w:rPr>
                <w:sz w:val="20"/>
                <w:szCs w:val="20"/>
              </w:rPr>
              <w:t xml:space="preserve"> y se utilizan únicamente con fines didácticos. Cualquier parecido con personas o empresas reales es coincidencia.</w:t>
            </w:r>
          </w:p>
          <w:p>
            <w:pPr>
              <w:spacing w:after="50"/>
              <w:jc w:val="left"/>
            </w:pPr>
            <w:r>
              <w:rPr>
                <w:sz w:val="20"/>
                <w:szCs w:val="20"/>
              </w:rPr>
              <w:t xml:space="preserve">Los rangos orientativos (por ejemplo, de relación deuda-ingreso o de cobertura) son </w:t>
            </w:r>
            <w:r>
              <w:rPr>
                <w:b/>
                <w:bCs/>
                <w:sz w:val="20"/>
                <w:szCs w:val="20"/>
              </w:rPr>
              <w:t xml:space="preserve">parámetros metodológicos sujetos a validación institucional</w:t>
            </w:r>
            <w:r>
              <w:rPr>
                <w:sz w:val="20"/>
                <w:szCs w:val="20"/>
              </w:rPr>
              <w:t xml:space="preserve">, no límites legales.</w:t>
            </w:r>
          </w:p>
          <w:p>
            <w:pPr>
              <w:spacing w:after="50"/>
              <w:jc w:val="left"/>
            </w:pPr>
            <w:r>
              <w:rPr>
                <w:sz w:val="20"/>
                <w:szCs w:val="20"/>
              </w:rPr>
              <w:t xml:space="preserve">La guía no reproduce porcentajes de reservas, tasas máximas ni plazos regulatorios: esos valores cambian y deben consultarse siempre en la fuente oficial vigente.</w:t>
            </w:r>
          </w:p>
        </w:tc>
      </w:tr>
    </w:tbl>
    <w:p>
      <w:pPr>
        <w:spacing w:after="120"/>
      </w:pPr>
    </w:p>
    <w:p>
      <w:pPr>
        <w:pStyle w:val="Heading2"/>
        <w:keepNext/>
      </w:pPr>
      <w:r>
        <w:t xml:space="preserve">P.3 Cómo usar esta guía</w:t>
      </w:r>
    </w:p>
    <w:p>
      <w:pPr>
        <w:keepNext/>
        <w:spacing w:after="60" w:before="120"/>
      </w:pPr>
      <w:r>
        <w:rPr>
          <w:b/>
          <w:bCs/>
          <w:color w:val="1F3864"/>
          <w:sz w:val="19"/>
          <w:szCs w:val="19"/>
        </w:rPr>
        <w:t xml:space="preserve">Tabla P.1. Mapa de uso de la guía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16"/>
        <w:gridCol w:w="3744"/>
      </w:tblGrid>
      <w:tr>
        <w:trPr>
          <w:cantSplit/>
          <w:tblHeader/>
        </w:trPr>
        <w:tc>
          <w:tcPr>
            <w:tcW w:type="dxa" w:w="561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Si usted necesita…</w:t>
            </w:r>
          </w:p>
        </w:tc>
        <w:tc>
          <w:tcPr>
            <w:tcW w:type="dxa" w:w="3744"/>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Consulte</w:t>
            </w:r>
          </w:p>
        </w:tc>
      </w:tr>
      <w:tr>
        <w:trPr>
          <w:cantSplit/>
        </w:trPr>
        <w:tc>
          <w:tcPr>
            <w:tcW w:type="dxa" w:w="56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Entender qué es una evaluación crediticia y por qué importa</w:t>
            </w:r>
          </w:p>
        </w:tc>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Capítulo 1</w:t>
            </w:r>
          </w:p>
        </w:tc>
      </w:tr>
      <w:tr>
        <w:trPr>
          <w:cantSplit/>
        </w:trPr>
        <w:tc>
          <w:tcPr>
            <w:tcW w:type="dxa" w:w="56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Saber qué documentos pedir y cómo verificarlos</w:t>
            </w:r>
          </w:p>
        </w:tc>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Capítulos 2 y 3; Anexo A</w:t>
            </w:r>
          </w:p>
        </w:tc>
      </w:tr>
      <w:tr>
        <w:trPr>
          <w:cantSplit/>
        </w:trPr>
        <w:tc>
          <w:tcPr>
            <w:tcW w:type="dxa" w:w="56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Calcular la capacidad de pago y hacer escenarios adversos</w:t>
            </w:r>
          </w:p>
        </w:tc>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Capítulo 4; Anexos B y C</w:t>
            </w:r>
          </w:p>
        </w:tc>
      </w:tr>
      <w:tr>
        <w:trPr>
          <w:cantSplit/>
        </w:trPr>
        <w:tc>
          <w:tcPr>
            <w:tcW w:type="dxa" w:w="56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Interpretar el historial crediticio</w:t>
            </w:r>
          </w:p>
        </w:tc>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Capítulo 5</w:t>
            </w:r>
          </w:p>
        </w:tc>
      </w:tr>
      <w:tr>
        <w:trPr>
          <w:cantSplit/>
        </w:trPr>
        <w:tc>
          <w:tcPr>
            <w:tcW w:type="dxa" w:w="56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Evaluar una hipoteca, prenda o fiador</w:t>
            </w:r>
          </w:p>
        </w:tc>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Capítulo 6; Anexo E</w:t>
            </w:r>
          </w:p>
        </w:tc>
      </w:tr>
      <w:tr>
        <w:trPr>
          <w:cantSplit/>
        </w:trPr>
        <w:tc>
          <w:tcPr>
            <w:tcW w:type="dxa" w:w="56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Analizar un negocio o empresa</w:t>
            </w:r>
          </w:p>
        </w:tc>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Capítulo 7</w:t>
            </w:r>
          </w:p>
        </w:tc>
      </w:tr>
      <w:tr>
        <w:trPr>
          <w:cantSplit/>
        </w:trPr>
        <w:tc>
          <w:tcPr>
            <w:tcW w:type="dxa" w:w="56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Incorporar el entorno económico</w:t>
            </w:r>
          </w:p>
        </w:tc>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Capítulo 8</w:t>
            </w:r>
          </w:p>
        </w:tc>
      </w:tr>
      <w:tr>
        <w:trPr>
          <w:cantSplit/>
        </w:trPr>
        <w:tc>
          <w:tcPr>
            <w:tcW w:type="dxa" w:w="56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Construir una matriz de riesgos</w:t>
            </w:r>
          </w:p>
        </w:tc>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Capítulo 9; Anexo D</w:t>
            </w:r>
          </w:p>
        </w:tc>
      </w:tr>
      <w:tr>
        <w:trPr>
          <w:cantSplit/>
        </w:trPr>
        <w:tc>
          <w:tcPr>
            <w:tcW w:type="dxa" w:w="56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Asignar una calificación o puntuación interna</w:t>
            </w:r>
          </w:p>
        </w:tc>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Capítulo 10</w:t>
            </w:r>
          </w:p>
        </w:tc>
      </w:tr>
      <w:tr>
        <w:trPr>
          <w:cantSplit/>
        </w:trPr>
        <w:tc>
          <w:tcPr>
            <w:tcW w:type="dxa" w:w="56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Redactar el informe de crédito</w:t>
            </w:r>
          </w:p>
        </w:tc>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Capítulo 11; Anexo G</w:t>
            </w:r>
          </w:p>
        </w:tc>
      </w:tr>
      <w:tr>
        <w:trPr>
          <w:cantSplit/>
        </w:trPr>
        <w:tc>
          <w:tcPr>
            <w:tcW w:type="dxa" w:w="56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Documentar y controlar el proceso</w:t>
            </w:r>
          </w:p>
        </w:tc>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Capítulos 12 y 13; Anexos H, I y K</w:t>
            </w:r>
          </w:p>
        </w:tc>
      </w:tr>
      <w:tr>
        <w:trPr>
          <w:cantSplit/>
        </w:trPr>
        <w:tc>
          <w:tcPr>
            <w:tcW w:type="dxa" w:w="56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Dar seguimiento después del desembolso</w:t>
            </w:r>
          </w:p>
        </w:tc>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Capítulo 14; Anexo J</w:t>
            </w:r>
          </w:p>
        </w:tc>
      </w:tr>
      <w:tr>
        <w:trPr>
          <w:cantSplit/>
        </w:trPr>
        <w:tc>
          <w:tcPr>
            <w:tcW w:type="dxa" w:w="56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Evitar errores típicos</w:t>
            </w:r>
          </w:p>
        </w:tc>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Capítulo 15</w:t>
            </w:r>
          </w:p>
        </w:tc>
      </w:tr>
      <w:tr>
        <w:trPr>
          <w:cantSplit/>
        </w:trPr>
        <w:tc>
          <w:tcPr>
            <w:tcW w:type="dxa" w:w="56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Practicar con casos completos</w:t>
            </w:r>
          </w:p>
        </w:tc>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Capítulo 16</w:t>
            </w:r>
          </w:p>
        </w:tc>
      </w:tr>
      <w:tr>
        <w:trPr>
          <w:cantSplit/>
        </w:trPr>
        <w:tc>
          <w:tcPr>
            <w:tcW w:type="dxa" w:w="56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Consultar términos</w:t>
            </w:r>
          </w:p>
        </w:tc>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Anexo L (Glosario)</w:t>
            </w:r>
          </w:p>
        </w:tc>
      </w:tr>
      <w:tr>
        <w:trPr>
          <w:cantSplit/>
        </w:trPr>
        <w:tc>
          <w:tcPr>
            <w:tcW w:type="dxa" w:w="56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Verificar las fuentes normativas</w:t>
            </w:r>
          </w:p>
        </w:tc>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Parte preliminar P.5 y Anexo M</w:t>
            </w:r>
          </w:p>
        </w:tc>
      </w:tr>
    </w:tbl>
    <w:p>
      <w:pPr>
        <w:spacing w:after="120"/>
      </w:pPr>
    </w:p>
    <w:p>
      <w:pPr>
        <w:pStyle w:val="Heading2"/>
        <w:keepNext/>
      </w:pPr>
      <w:r>
        <w:t xml:space="preserve">P.4 Correspondencia con el contenido original</w:t>
      </w:r>
    </w:p>
    <w:p>
      <w:pPr>
        <w:keepNext w:val="false"/>
        <w:spacing w:after="120" w:before="0"/>
        <w:jc w:val="both"/>
      </w:pPr>
      <w:r>
        <w:t xml:space="preserve">La guía integra íntegramente los once apartados del material original. Algunos se desarrollan en más de un capítulo porque la metodología requiere separar etapas (por ejemplo, la documentación del proceso se trata tanto en el informe como en la trazabilidad y el control interno). La tabla siguiente permite comprobar que ningún apartado fue omitido.</w:t>
      </w:r>
    </w:p>
    <w:p>
      <w:pPr>
        <w:keepNext/>
        <w:spacing w:after="60" w:before="120"/>
      </w:pPr>
      <w:r>
        <w:rPr>
          <w:b/>
          <w:bCs/>
          <w:color w:val="1F3864"/>
          <w:sz w:val="19"/>
          <w:szCs w:val="19"/>
        </w:rPr>
        <w:t xml:space="preserve">Tabla P.2. Trazabilidad entre el contenido original y la guía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1"/>
        <w:gridCol w:w="5054"/>
        <w:gridCol w:w="3745"/>
      </w:tblGrid>
      <w:tr>
        <w:trPr>
          <w:cantSplit/>
          <w:tblHeader/>
        </w:trPr>
        <w:tc>
          <w:tcPr>
            <w:tcW w:type="dxa" w:w="561"/>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w:t>
            </w:r>
          </w:p>
        </w:tc>
        <w:tc>
          <w:tcPr>
            <w:tcW w:type="dxa" w:w="5054"/>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Apartado original</w:t>
            </w:r>
          </w:p>
        </w:tc>
        <w:tc>
          <w:tcPr>
            <w:tcW w:type="dxa" w:w="3745"/>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Dónde se desarrolla</w:t>
            </w:r>
          </w:p>
        </w:tc>
      </w:tr>
      <w:tr>
        <w:trPr>
          <w:cantSplit/>
        </w:trPr>
        <w:tc>
          <w:tcPr>
            <w:tcW w:type="dxa" w:w="56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1</w:t>
            </w:r>
          </w:p>
        </w:tc>
        <w:tc>
          <w:tcPr>
            <w:tcW w:type="dxa" w:w="505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Comprender la importancia de las evaluaciones crediticias</w:t>
            </w:r>
          </w:p>
        </w:tc>
        <w:tc>
          <w:tcPr>
            <w:tcW w:type="dxa" w:w="374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Capítulo 1</w:t>
            </w:r>
          </w:p>
        </w:tc>
      </w:tr>
      <w:tr>
        <w:trPr>
          <w:cantSplit/>
        </w:trPr>
        <w:tc>
          <w:tcPr>
            <w:tcW w:type="dxa" w:w="56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2</w:t>
            </w:r>
          </w:p>
        </w:tc>
        <w:tc>
          <w:tcPr>
            <w:tcW w:type="dxa" w:w="505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Recopilación y análisis de información financiera</w:t>
            </w:r>
          </w:p>
        </w:tc>
        <w:tc>
          <w:tcPr>
            <w:tcW w:type="dxa" w:w="374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Capítulos 2 y 3</w:t>
            </w:r>
          </w:p>
        </w:tc>
      </w:tr>
      <w:tr>
        <w:trPr>
          <w:cantSplit/>
        </w:trPr>
        <w:tc>
          <w:tcPr>
            <w:tcW w:type="dxa" w:w="56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3</w:t>
            </w:r>
          </w:p>
        </w:tc>
        <w:tc>
          <w:tcPr>
            <w:tcW w:type="dxa" w:w="505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Evaluación de la capacidad de pago del prestatario</w:t>
            </w:r>
          </w:p>
        </w:tc>
        <w:tc>
          <w:tcPr>
            <w:tcW w:type="dxa" w:w="374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Capítulo 4 (y casos del Capítulo 16)</w:t>
            </w:r>
          </w:p>
        </w:tc>
      </w:tr>
      <w:tr>
        <w:trPr>
          <w:cantSplit/>
        </w:trPr>
        <w:tc>
          <w:tcPr>
            <w:tcW w:type="dxa" w:w="56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4</w:t>
            </w:r>
          </w:p>
        </w:tc>
        <w:tc>
          <w:tcPr>
            <w:tcW w:type="dxa" w:w="505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Evaluación de la seguridad y las garantías</w:t>
            </w:r>
          </w:p>
        </w:tc>
        <w:tc>
          <w:tcPr>
            <w:tcW w:type="dxa" w:w="374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Capítulo 6</w:t>
            </w:r>
          </w:p>
        </w:tc>
      </w:tr>
      <w:tr>
        <w:trPr>
          <w:cantSplit/>
        </w:trPr>
        <w:tc>
          <w:tcPr>
            <w:tcW w:type="dxa" w:w="56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5</w:t>
            </w:r>
          </w:p>
        </w:tc>
        <w:tc>
          <w:tcPr>
            <w:tcW w:type="dxa" w:w="505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Revisión del historial crediticio del prestatario</w:t>
            </w:r>
          </w:p>
        </w:tc>
        <w:tc>
          <w:tcPr>
            <w:tcW w:type="dxa" w:w="374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Capítulo 5</w:t>
            </w:r>
          </w:p>
        </w:tc>
      </w:tr>
      <w:tr>
        <w:trPr>
          <w:cantSplit/>
        </w:trPr>
        <w:tc>
          <w:tcPr>
            <w:tcW w:type="dxa" w:w="56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6</w:t>
            </w:r>
          </w:p>
        </w:tc>
        <w:tc>
          <w:tcPr>
            <w:tcW w:type="dxa" w:w="505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Evaluación de la gestión y las operaciones comerciales del prestatario</w:t>
            </w:r>
          </w:p>
        </w:tc>
        <w:tc>
          <w:tcPr>
            <w:tcW w:type="dxa" w:w="374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Capítulo 7</w:t>
            </w:r>
          </w:p>
        </w:tc>
      </w:tr>
      <w:tr>
        <w:trPr>
          <w:cantSplit/>
        </w:trPr>
        <w:tc>
          <w:tcPr>
            <w:tcW w:type="dxa" w:w="56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7</w:t>
            </w:r>
          </w:p>
        </w:tc>
        <w:tc>
          <w:tcPr>
            <w:tcW w:type="dxa" w:w="505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Consideración de la industria y los factores económicos</w:t>
            </w:r>
          </w:p>
        </w:tc>
        <w:tc>
          <w:tcPr>
            <w:tcW w:type="dxa" w:w="374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Capítulo 8</w:t>
            </w:r>
          </w:p>
        </w:tc>
      </w:tr>
      <w:tr>
        <w:trPr>
          <w:cantSplit/>
        </w:trPr>
        <w:tc>
          <w:tcPr>
            <w:tcW w:type="dxa" w:w="56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8</w:t>
            </w:r>
          </w:p>
        </w:tc>
        <w:tc>
          <w:tcPr>
            <w:tcW w:type="dxa" w:w="505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Cálculo de la solvencia o perfil de riesgo crediticio del prestatario</w:t>
            </w:r>
          </w:p>
        </w:tc>
        <w:tc>
          <w:tcPr>
            <w:tcW w:type="dxa" w:w="374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Capítulos 9 y 10</w:t>
            </w:r>
          </w:p>
        </w:tc>
      </w:tr>
      <w:tr>
        <w:trPr>
          <w:cantSplit/>
        </w:trPr>
        <w:tc>
          <w:tcPr>
            <w:tcW w:type="dxa" w:w="56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9</w:t>
            </w:r>
          </w:p>
        </w:tc>
        <w:tc>
          <w:tcPr>
            <w:tcW w:type="dxa" w:w="505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Documentación del proceso de evaluación crediticia</w:t>
            </w:r>
          </w:p>
        </w:tc>
        <w:tc>
          <w:tcPr>
            <w:tcW w:type="dxa" w:w="374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Capítulos 11, 12 y 13</w:t>
            </w:r>
          </w:p>
        </w:tc>
      </w:tr>
      <w:tr>
        <w:trPr>
          <w:cantSplit/>
        </w:trPr>
        <w:tc>
          <w:tcPr>
            <w:tcW w:type="dxa" w:w="56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10</w:t>
            </w:r>
          </w:p>
        </w:tc>
        <w:tc>
          <w:tcPr>
            <w:tcW w:type="dxa" w:w="505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Seguimiento y revisión del desempeño crediticio del prestatario</w:t>
            </w:r>
          </w:p>
        </w:tc>
        <w:tc>
          <w:tcPr>
            <w:tcW w:type="dxa" w:w="374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Capítulo 14</w:t>
            </w:r>
          </w:p>
        </w:tc>
      </w:tr>
      <w:tr>
        <w:trPr>
          <w:cantSplit/>
        </w:trPr>
        <w:tc>
          <w:tcPr>
            <w:tcW w:type="dxa" w:w="56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11</w:t>
            </w:r>
          </w:p>
        </w:tc>
        <w:tc>
          <w:tcPr>
            <w:tcW w:type="dxa" w:w="505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Conclusiones y recomendaciones</w:t>
            </w:r>
          </w:p>
        </w:tc>
        <w:tc>
          <w:tcPr>
            <w:tcW w:type="dxa" w:w="374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Capítulo 18</w:t>
            </w:r>
          </w:p>
        </w:tc>
      </w:tr>
    </w:tbl>
    <w:p>
      <w:pPr>
        <w:spacing w:after="120"/>
      </w:pPr>
    </w:p>
    <w:p>
      <w:pPr>
        <w:pStyle w:val="Heading2"/>
        <w:keepNext/>
      </w:pPr>
      <w:r>
        <w:t xml:space="preserve">P.5 Marco normativo salvadoreño de referencia</w:t>
      </w:r>
    </w:p>
    <w:p>
      <w:pPr>
        <w:keepNext w:val="false"/>
        <w:spacing w:after="120" w:before="0"/>
        <w:jc w:val="both"/>
      </w:pPr>
      <w:r>
        <w:t xml:space="preserve">Esta sección resume las disposiciones que con mayor frecuencia inciden en la evaluación crediticia en El Salvador. La revisión se realizó mediante búsquedas en fuentes oficiales y secundarias especializadas con fecha de consulta </w:t>
      </w:r>
      <w:r>
        <w:rPr>
          <w:b/>
          <w:bCs/>
        </w:rPr>
        <w:t xml:space="preserve">27 de octubre de 2026</w:t>
      </w:r>
      <w:r>
        <w:t xml:space="preserve">. Durante la elaboración, los portales de la SSF y del BCR no pudieron descargarse directamente desde el entorno de trabajo, por lo que varios datos se verificaron a través de copias oficiales en el Portal de Transparencia, publicaciones de la Asamblea Legislativa y análisis jurídicos. </w:t>
      </w:r>
      <w:r>
        <w:rPr>
          <w:b/>
          <w:bCs/>
        </w:rPr>
        <w:t xml:space="preserve">Cuando un dato no pudo confirmarse, se indica expresamente.</w:t>
      </w:r>
      <w:r>
        <w:t xml:space="preserve"> La institución usuaria debe confirmar el texto consolidado vigente antes de aplicarlo.</w:t>
      </w:r>
    </w:p>
    <w:p>
      <w:pPr>
        <w:pStyle w:val="Heading3"/>
        <w:keepNext/>
      </w:pPr>
      <w:r>
        <w:t xml:space="preserve">P.5.1 Cómo leer esta sección: tipos de disposiciones</w:t>
      </w:r>
    </w:p>
    <w:p>
      <w:pPr>
        <w:keepNext/>
        <w:spacing w:after="60" w:before="120"/>
      </w:pPr>
      <w:r>
        <w:rPr>
          <w:b/>
          <w:bCs/>
          <w:color w:val="1F3864"/>
          <w:sz w:val="19"/>
          <w:szCs w:val="19"/>
        </w:rPr>
        <w:t xml:space="preserve">Tabla P.3. Jerarquía práctica de las disposiciones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4"/>
        <w:gridCol w:w="2995"/>
        <w:gridCol w:w="2340"/>
        <w:gridCol w:w="2341"/>
      </w:tblGrid>
      <w:tr>
        <w:trPr>
          <w:cantSplit/>
          <w:tblHeader/>
        </w:trPr>
        <w:tc>
          <w:tcPr>
            <w:tcW w:type="dxa" w:w="1684"/>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Tipo</w:t>
            </w:r>
          </w:p>
        </w:tc>
        <w:tc>
          <w:tcPr>
            <w:tcW w:type="dxa" w:w="2995"/>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Qué es</w:t>
            </w:r>
          </w:p>
        </w:tc>
        <w:tc>
          <w:tcPr>
            <w:tcW w:type="dxa" w:w="234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Quién la emite</w:t>
            </w:r>
          </w:p>
        </w:tc>
        <w:tc>
          <w:tcPr>
            <w:tcW w:type="dxa" w:w="2341"/>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Efecto práctico</w:t>
            </w:r>
          </w:p>
        </w:tc>
      </w:tr>
      <w:tr>
        <w:trPr>
          <w:cantSplit/>
        </w:trPr>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Obligación legal</w:t>
            </w:r>
          </w:p>
        </w:tc>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Mandato contenido en una ley o decreto legislativo.</w:t>
            </w:r>
          </w:p>
        </w:tc>
        <w:tc>
          <w:tcPr>
            <w:tcW w:type="dxa" w:w="23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Asamblea Legislativa (publicado en el Diario Oficial).</w:t>
            </w:r>
          </w:p>
        </w:tc>
        <w:tc>
          <w:tcPr>
            <w:tcW w:type="dxa" w:w="234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Debe cumplirse; su incumplimiento puede acarrear sanciones o nulidades.</w:t>
            </w:r>
          </w:p>
        </w:tc>
      </w:tr>
      <w:tr>
        <w:trPr>
          <w:cantSplit/>
        </w:trPr>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Disposición prudencial / normativa técnica</w:t>
            </w:r>
          </w:p>
        </w:tc>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Norma técnica que desarrolla la ley para las entidades supervisadas.</w:t>
            </w:r>
          </w:p>
        </w:tc>
        <w:tc>
          <w:tcPr>
            <w:tcW w:type="dxa" w:w="23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BCR (Comité de Normas, NRP/NCM), y normas de la SSF que se mantienen vigentes (NPB, NCB).</w:t>
            </w:r>
          </w:p>
        </w:tc>
        <w:tc>
          <w:tcPr>
            <w:tcW w:type="dxa" w:w="234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Obligatoria solo para los sujetos obligados que la misma norma define.</w:t>
            </w:r>
          </w:p>
        </w:tc>
      </w:tr>
      <w:tr>
        <w:trPr>
          <w:cantSplit/>
        </w:trPr>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Política interna</w:t>
            </w:r>
          </w:p>
        </w:tc>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Regla aprobada por la Junta Directiva u órgano equivalente de cada entidad.</w:t>
            </w:r>
          </w:p>
        </w:tc>
        <w:tc>
          <w:tcPr>
            <w:tcW w:type="dxa" w:w="23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La propia institución.</w:t>
            </w:r>
          </w:p>
        </w:tc>
        <w:tc>
          <w:tcPr>
            <w:tcW w:type="dxa" w:w="234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Obligatoria dentro de la institución; puede ser más estricta que la norma.</w:t>
            </w:r>
          </w:p>
        </w:tc>
      </w:tr>
      <w:tr>
        <w:trPr>
          <w:cantSplit/>
        </w:trPr>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Buena práctica</w:t>
            </w:r>
          </w:p>
        </w:tc>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Recomendación metodológica basada en experiencia y estándares.</w:t>
            </w:r>
          </w:p>
        </w:tc>
        <w:tc>
          <w:tcPr>
            <w:tcW w:type="dxa" w:w="23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Esta guía, estándares internacionales, gremios.</w:t>
            </w:r>
          </w:p>
        </w:tc>
        <w:tc>
          <w:tcPr>
            <w:tcW w:type="dxa" w:w="234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Orientativa; debe validarse y aprobarse antes de convertirse en política.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77C02" w:sz="4"/>
              <w:left w:val="single" w:color="C77C02" w:sz="24"/>
              <w:bottom w:val="single" w:color="C77C02" w:sz="4"/>
              <w:right w:val="single" w:color="C77C02" w:sz="4"/>
            </w:tcBorders>
            <w:shd w:fill="FFF4E0" w:color="auto" w:val="clear"/>
            <w:tcMar>
              <w:top w:type="dxa" w:w="100"/>
              <w:left w:type="dxa" w:w="180"/>
              <w:bottom w:type="dxa" w:w="100"/>
              <w:right w:type="dxa" w:w="180"/>
            </w:tcMar>
          </w:tcPr>
          <w:p>
            <w:pPr>
              <w:spacing w:after="60"/>
            </w:pPr>
            <w:r>
              <w:rPr>
                <w:b/>
                <w:bCs/>
                <w:color w:val="C77C02"/>
                <w:sz w:val="20"/>
                <w:szCs w:val="20"/>
              </w:rPr>
              <w:t xml:space="preserve">Principio de ámbito de aplicación</w:t>
            </w:r>
          </w:p>
          <w:p>
            <w:pPr>
              <w:spacing w:after="50"/>
              <w:jc w:val="left"/>
            </w:pPr>
            <w:r>
              <w:rPr>
                <w:sz w:val="20"/>
                <w:szCs w:val="20"/>
              </w:rPr>
              <w:t xml:space="preserve">El ámbito de aplicación de cada norma prudencial es </w:t>
            </w:r>
            <w:r>
              <w:rPr>
                <w:b/>
                <w:bCs/>
                <w:sz w:val="20"/>
                <w:szCs w:val="20"/>
              </w:rPr>
              <w:t xml:space="preserve">específico</w:t>
            </w:r>
            <w:r>
              <w:rPr>
                <w:sz w:val="20"/>
                <w:szCs w:val="20"/>
              </w:rPr>
              <w:t xml:space="preserve">. Por ejemplo, la NRP-C-01/2020 del BCR regula la gestión del riesgo crediticio del Banco de Desarrollo de la República de El Salvador (BANDESAL) y no es directamente aplicable a un banco comercial. Del mismo modo, una cooperativa no supervisada por la SSF se rige por la legislación cooperativa y la regulación de INSAFOCOOP, no por las NRP dirigidas a bancos.</w:t>
            </w:r>
          </w:p>
        </w:tc>
      </w:tr>
    </w:tbl>
    <w:p>
      <w:pPr>
        <w:spacing w:after="120"/>
      </w:pPr>
    </w:p>
    <w:p>
      <w:pPr>
        <w:pStyle w:val="Heading3"/>
        <w:keepNext/>
      </w:pPr>
      <w:r>
        <w:t xml:space="preserve">P.5.2 Matriz de referencias normativas verificadas</w:t>
      </w:r>
    </w:p>
    <w:p>
      <w:pPr>
        <w:keepNext w:val="false"/>
        <w:spacing w:after="120" w:before="0"/>
        <w:jc w:val="both"/>
      </w:pPr>
      <w:r>
        <w:t xml:space="preserve">La siguiente matriz identifica, para cada disposición, su nombre, identificación, autoridad, apartados pertinentes, ámbito, estado de vigencia comprobado y enlace de consulta. Los enlaces conducen a portales oficiales; si un enlace cambia, la disposición puede ubicarse por su nombre en el portal indicado.</w:t>
      </w:r>
    </w:p>
    <w:p>
      <w:pPr>
        <w:keepNext/>
        <w:spacing w:after="60" w:before="120"/>
      </w:pPr>
      <w:r>
        <w:rPr>
          <w:b/>
          <w:bCs/>
          <w:color w:val="1F3864"/>
          <w:sz w:val="19"/>
          <w:szCs w:val="19"/>
        </w:rPr>
        <w:t xml:space="preserve">Tabla P.4. Matriz de referencias normativas (consulta: 27/10/2026)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029"/>
        <w:gridCol w:w="2340"/>
        <w:gridCol w:w="1216"/>
        <w:gridCol w:w="1778"/>
        <w:gridCol w:w="1125"/>
      </w:tblGrid>
      <w:tr>
        <w:trPr>
          <w:cantSplit/>
          <w:tblHeader/>
        </w:trPr>
        <w:tc>
          <w:tcPr>
            <w:tcW w:type="dxa" w:w="187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5"/>
                <w:szCs w:val="15"/>
              </w:rPr>
              <w:t xml:space="preserve">Disposición e identificación</w:t>
            </w:r>
          </w:p>
        </w:tc>
        <w:tc>
          <w:tcPr>
            <w:tcW w:type="dxa" w:w="102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5"/>
                <w:szCs w:val="15"/>
              </w:rPr>
              <w:t xml:space="preserve">Autoridad</w:t>
            </w:r>
          </w:p>
        </w:tc>
        <w:tc>
          <w:tcPr>
            <w:tcW w:type="dxa" w:w="234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5"/>
                <w:szCs w:val="15"/>
              </w:rPr>
              <w:t xml:space="preserve">Contenido pertinente para la evaluación</w:t>
            </w:r>
          </w:p>
        </w:tc>
        <w:tc>
          <w:tcPr>
            <w:tcW w:type="dxa" w:w="121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5"/>
                <w:szCs w:val="15"/>
              </w:rPr>
              <w:t xml:space="preserve">Ámbito</w:t>
            </w:r>
          </w:p>
        </w:tc>
        <w:tc>
          <w:tcPr>
            <w:tcW w:type="dxa" w:w="1778"/>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5"/>
                <w:szCs w:val="15"/>
              </w:rPr>
              <w:t xml:space="preserve">Vigencia / estado comprobado</w:t>
            </w:r>
          </w:p>
        </w:tc>
        <w:tc>
          <w:tcPr>
            <w:tcW w:type="dxa" w:w="1125"/>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5"/>
                <w:szCs w:val="15"/>
              </w:rPr>
              <w:t xml:space="preserve">Consulta</w:t>
            </w:r>
          </w:p>
        </w:tc>
      </w:tr>
      <w:tr>
        <w:trPr>
          <w:cantSplit/>
        </w:trPr>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Ley de Supervisión y Regulación del Sistema Financiero (Decreto Legislativo No. 592, 2011)</w:t>
            </w:r>
          </w:p>
        </w:tc>
        <w:tc>
          <w:tcPr>
            <w:tcW w:type="dxa" w:w="102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Asamblea Legislativa</w:t>
            </w:r>
          </w:p>
        </w:tc>
        <w:tc>
          <w:tcPr>
            <w:tcW w:type="dxa" w:w="23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Define la supervisión de la SSF y faculta al BCR para emitir normas técnicas prudenciales (Art. 99, según la base legal citada en las normas técnicas del BCR).</w:t>
            </w:r>
          </w:p>
        </w:tc>
        <w:tc>
          <w:tcPr>
            <w:tcW w:type="dxa" w:w="12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Integrantes del sistema financiero supervisado.</w:t>
            </w:r>
          </w:p>
        </w:tc>
        <w:tc>
          <w:tcPr>
            <w:tcW w:type="dxa" w:w="177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Vigente. Número de decreto conforme a registros oficiales; confirmar reformas en el texto consolidado.</w:t>
            </w:r>
          </w:p>
        </w:tc>
        <w:tc>
          <w:tcPr>
            <w:tcW w:type="dxa" w:w="112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ssf.gob.sv – Leyes; asamblea.gob.sv</w:t>
            </w:r>
          </w:p>
        </w:tc>
      </w:tr>
      <w:tr>
        <w:trPr>
          <w:cantSplit/>
        </w:trPr>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Ley de Bancos (Decreto Legislativo No. 697, 1999)</w:t>
            </w:r>
          </w:p>
        </w:tc>
        <w:tc>
          <w:tcPr>
            <w:tcW w:type="dxa" w:w="102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Asamblea Legislativa</w:t>
            </w:r>
          </w:p>
        </w:tc>
        <w:tc>
          <w:tcPr>
            <w:tcW w:type="dxa" w:w="23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Marco de operación de bancos: gestión de riesgos, créditos, reserva de información, idoneidad de accionistas (Arts. 11 y 12, según declaraciones de la SSF en 2026).</w:t>
            </w:r>
          </w:p>
        </w:tc>
        <w:tc>
          <w:tcPr>
            <w:tcW w:type="dxa" w:w="12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Bancos y sucursales de bancos extranjeros.</w:t>
            </w:r>
          </w:p>
        </w:tc>
        <w:tc>
          <w:tcPr>
            <w:tcW w:type="dxa" w:w="177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Vigente con reformas. El 3/03/2026 la Asamblea derogó el Art. 10 (requisito de 51 % de capital salvadoreño o centroamericano).</w:t>
            </w:r>
          </w:p>
        </w:tc>
        <w:tc>
          <w:tcPr>
            <w:tcW w:type="dxa" w:w="112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asamblea.gob.sv; ssf.gob.sv</w:t>
            </w:r>
          </w:p>
        </w:tc>
      </w:tr>
      <w:tr>
        <w:trPr>
          <w:cantSplit/>
        </w:trPr>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Ley de Bancos Cooperativos y Sociedades de Ahorro y Crédito (Decreto Legislativo No. 849, 2000)</w:t>
            </w:r>
          </w:p>
        </w:tc>
        <w:tc>
          <w:tcPr>
            <w:tcW w:type="dxa" w:w="102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Asamblea Legislativa</w:t>
            </w:r>
          </w:p>
        </w:tc>
        <w:tc>
          <w:tcPr>
            <w:tcW w:type="dxa" w:w="23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Operación y supervisión de bancos cooperativos y sociedades de ahorro y crédito.</w:t>
            </w:r>
          </w:p>
        </w:tc>
        <w:tc>
          <w:tcPr>
            <w:tcW w:type="dxa" w:w="12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Bancos cooperativos y SAC supervisados.</w:t>
            </w:r>
          </w:p>
        </w:tc>
        <w:tc>
          <w:tcPr>
            <w:tcW w:type="dxa" w:w="177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Vigente según registros; confirmar reformas recientes en el texto consolidado.</w:t>
            </w:r>
          </w:p>
        </w:tc>
        <w:tc>
          <w:tcPr>
            <w:tcW w:type="dxa" w:w="112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ssf.gob.sv – Leyes</w:t>
            </w:r>
          </w:p>
        </w:tc>
      </w:tr>
      <w:tr>
        <w:trPr>
          <w:cantSplit/>
        </w:trPr>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Ley General de Asociaciones Cooperativas y su Reglamento</w:t>
            </w:r>
          </w:p>
        </w:tc>
        <w:tc>
          <w:tcPr>
            <w:tcW w:type="dxa" w:w="102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Asamblea Legislativa / INSAFOCOOP</w:t>
            </w:r>
          </w:p>
        </w:tc>
        <w:tc>
          <w:tcPr>
            <w:tcW w:type="dxa" w:w="23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Organización y fiscalización de cooperativas, incluidas las de ahorro y crédito no supervisadas por la SSF.</w:t>
            </w:r>
          </w:p>
        </w:tc>
        <w:tc>
          <w:tcPr>
            <w:tcW w:type="dxa" w:w="12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Cooperativas bajo fiscalización de INSAFOCOOP.</w:t>
            </w:r>
          </w:p>
        </w:tc>
        <w:tc>
          <w:tcPr>
            <w:tcW w:type="dxa" w:w="177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Vigente; número de decreto y reformas no verificados en esta revisión.</w:t>
            </w:r>
          </w:p>
        </w:tc>
        <w:tc>
          <w:tcPr>
            <w:tcW w:type="dxa" w:w="112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insafocoop.gob.sv</w:t>
            </w:r>
          </w:p>
        </w:tc>
      </w:tr>
      <w:tr>
        <w:trPr>
          <w:cantSplit/>
        </w:trPr>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NPB4-49 Normas para la Gestión del Riesgo Crediticio y de Concentración de Crédito</w:t>
            </w:r>
          </w:p>
        </w:tc>
        <w:tc>
          <w:tcPr>
            <w:tcW w:type="dxa" w:w="102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SSF (norma prudencial de bancos)</w:t>
            </w:r>
          </w:p>
        </w:tc>
        <w:tc>
          <w:tcPr>
            <w:tcW w:type="dxa" w:w="23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Exige políticas de crédito aprobadas por la Junta Directiva, adecuadas a los productos y al mercado objetivo, que fijen niveles de tolerancia y cubran otorgamiento, seguimiento, cobranza, recuperación y tratamiento de excepciones.</w:t>
            </w:r>
          </w:p>
        </w:tc>
        <w:tc>
          <w:tcPr>
            <w:tcW w:type="dxa" w:w="12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Entidades señaladas en la propia norma (bancos y otras supervisadas).</w:t>
            </w:r>
          </w:p>
        </w:tc>
        <w:tc>
          <w:tcPr>
            <w:tcW w:type="dxa" w:w="177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Aplicada en 2024–2025 según informes de gestión integral de riesgos publicados por bancos. Fecha de vigencia y reformas no verificadas en esta revisión.</w:t>
            </w:r>
          </w:p>
        </w:tc>
        <w:tc>
          <w:tcPr>
            <w:tcW w:type="dxa" w:w="112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ssf.gob.sv – Normativa</w:t>
            </w:r>
          </w:p>
        </w:tc>
      </w:tr>
      <w:tr>
        <w:trPr>
          <w:cantSplit/>
        </w:trPr>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NCB-022 Normas para Clasificar los Activos de Riesgo Crediticio y Constituir las Reservas de Saneamiento</w:t>
            </w:r>
          </w:p>
        </w:tc>
        <w:tc>
          <w:tcPr>
            <w:tcW w:type="dxa" w:w="102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SSF</w:t>
            </w:r>
          </w:p>
        </w:tc>
        <w:tc>
          <w:tcPr>
            <w:tcW w:type="dxa" w:w="23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Clasificación del 100 % de los activos de riesgo crediticio en categorías de riesgo; los créditos de vivienda y consumo se clasifican mensualmente según el comportamiento de pago (mora); exige reservas mínimas.</w:t>
            </w:r>
          </w:p>
        </w:tc>
        <w:tc>
          <w:tcPr>
            <w:tcW w:type="dxa" w:w="12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Sujetos obligados definidos en la norma (bancos y entidades a las que se extienda).</w:t>
            </w:r>
          </w:p>
        </w:tc>
        <w:tc>
          <w:tcPr>
            <w:tcW w:type="dxa" w:w="177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Aprobada 26/10/2005, vigencia 01/01/2007 (dato de fuente secundaria). Citada como base de reservas en estados financieros bancarios a marzo de 2025.</w:t>
            </w:r>
          </w:p>
        </w:tc>
        <w:tc>
          <w:tcPr>
            <w:tcW w:type="dxa" w:w="112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ssf.gob.sv – Normas contables de bancos</w:t>
            </w:r>
          </w:p>
        </w:tc>
      </w:tr>
      <w:tr>
        <w:trPr>
          <w:cantSplit/>
        </w:trPr>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NRP-20 Normas Técnicas para la Gestión Integral de Riesgos de las Entidades Financieras (CNBCR-03/2020)</w:t>
            </w:r>
          </w:p>
        </w:tc>
        <w:tc>
          <w:tcPr>
            <w:tcW w:type="dxa" w:w="102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BCR – Comité de Normas</w:t>
            </w:r>
          </w:p>
        </w:tc>
        <w:tc>
          <w:tcPr>
            <w:tcW w:type="dxa" w:w="23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Requisitos mínimos de gestión integral de riesgos: identificación, medición, control, monitoreo y comunicación, incluido el riesgo de crédito.</w:t>
            </w:r>
          </w:p>
        </w:tc>
        <w:tc>
          <w:tcPr>
            <w:tcW w:type="dxa" w:w="12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Entidades financieras supervisadas señaladas en la norma.</w:t>
            </w:r>
          </w:p>
        </w:tc>
        <w:tc>
          <w:tcPr>
            <w:tcW w:type="dxa" w:w="177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Aprobada 26/02/2020; vigencia 01/04/2020. Citada en informes de 2026. No se identificó derogatoria.</w:t>
            </w:r>
          </w:p>
        </w:tc>
        <w:tc>
          <w:tcPr>
            <w:tcW w:type="dxa" w:w="112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bcr.gob.sv/regulaciones</w:t>
            </w:r>
          </w:p>
        </w:tc>
      </w:tr>
      <w:tr>
        <w:trPr>
          <w:cantSplit/>
        </w:trPr>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NRP-17 Normas Técnicas de Gobierno Corporativo</w:t>
            </w:r>
          </w:p>
        </w:tc>
        <w:tc>
          <w:tcPr>
            <w:tcW w:type="dxa" w:w="102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BCR – Comité de Normas</w:t>
            </w:r>
          </w:p>
        </w:tc>
        <w:tc>
          <w:tcPr>
            <w:tcW w:type="dxa" w:w="23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Responsabilidades de la Junta Directiva y la alta gerencia, comités, control interno y gestión de conflictos de interés.</w:t>
            </w:r>
          </w:p>
        </w:tc>
        <w:tc>
          <w:tcPr>
            <w:tcW w:type="dxa" w:w="12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Entidades señaladas en la norma.</w:t>
            </w:r>
          </w:p>
        </w:tc>
        <w:tc>
          <w:tcPr>
            <w:tcW w:type="dxa" w:w="177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Aprobada 27/03/2019; vigencia 02/05/2019.</w:t>
            </w:r>
          </w:p>
        </w:tc>
        <w:tc>
          <w:tcPr>
            <w:tcW w:type="dxa" w:w="112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bcr.gob.sv/regulaciones</w:t>
            </w:r>
          </w:p>
        </w:tc>
      </w:tr>
      <w:tr>
        <w:trPr>
          <w:cantSplit/>
        </w:trPr>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Ley Especial para la Prevención, Control y Sanción del Lavado de Activos, Financiamiento del Terrorismo y Financiamiento de la Proliferación de Armas de Destrucción Masiva (Decreto Legislativo No. 426)</w:t>
            </w:r>
          </w:p>
        </w:tc>
        <w:tc>
          <w:tcPr>
            <w:tcW w:type="dxa" w:w="102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Asamblea Legislativa</w:t>
            </w:r>
          </w:p>
        </w:tc>
        <w:tc>
          <w:tcPr>
            <w:tcW w:type="dxa" w:w="23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Debida diligencia, identificación del cliente y beneficiario final, enfoque basado en riesgo, reporte de operaciones sospechosas. Crea el CIPLAFT y el SINAPLAFT.</w:t>
            </w:r>
          </w:p>
        </w:tc>
        <w:tc>
          <w:tcPr>
            <w:tcW w:type="dxa" w:w="12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Sujetos obligados definidos en la ley.</w:t>
            </w:r>
          </w:p>
        </w:tc>
        <w:tc>
          <w:tcPr>
            <w:tcW w:type="dxa" w:w="177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Diario Oficial del 9/10/2025, Tomo 449; vigente desde el 17/10/2025. </w:t>
            </w:r>
            <w:r>
              <w:rPr>
                <w:b/>
                <w:bCs/>
                <w:sz w:val="15"/>
                <w:szCs w:val="15"/>
              </w:rPr>
              <w:t xml:space="preserve">Derogó la Ley contra el Lavado de Dinero y de Activos de 1998.</w:t>
            </w:r>
          </w:p>
        </w:tc>
        <w:tc>
          <w:tcPr>
            <w:tcW w:type="dxa" w:w="112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asamblea.gob.sv – Decretos</w:t>
            </w:r>
          </w:p>
        </w:tc>
      </w:tr>
      <w:tr>
        <w:trPr>
          <w:cantSplit/>
        </w:trPr>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NRP-36 Normas Técnicas para la Gestión de los Riesgos de LA/FT y FPADM</w:t>
            </w:r>
          </w:p>
        </w:tc>
        <w:tc>
          <w:tcPr>
            <w:tcW w:type="dxa" w:w="102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BCR – Comité de Normas</w:t>
            </w:r>
          </w:p>
        </w:tc>
        <w:tc>
          <w:tcPr>
            <w:tcW w:type="dxa" w:w="23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Gestión de riesgos de lavado de activos y financiamiento del terrorismo y de la proliferación en entidades supervisadas.</w:t>
            </w:r>
          </w:p>
        </w:tc>
        <w:tc>
          <w:tcPr>
            <w:tcW w:type="dxa" w:w="12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Entidades supervisadas definidas en la norma.</w:t>
            </w:r>
          </w:p>
        </w:tc>
        <w:tc>
          <w:tcPr>
            <w:tcW w:type="dxa" w:w="177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Aprobada 23/09/2022; vigencia 10/10/2022; derogó la NRP-08. </w:t>
            </w:r>
            <w:r>
              <w:rPr>
                <w:b/>
                <w:bCs/>
                <w:sz w:val="15"/>
                <w:szCs w:val="15"/>
              </w:rPr>
              <w:t xml:space="preserve">Debe verificarse su adecuación a la nueva ley de 2025.</w:t>
            </w:r>
          </w:p>
        </w:tc>
        <w:tc>
          <w:tcPr>
            <w:tcW w:type="dxa" w:w="112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bcr.gob.sv/regulaciones</w:t>
            </w:r>
          </w:p>
        </w:tc>
      </w:tr>
      <w:tr>
        <w:trPr>
          <w:cantSplit/>
        </w:trPr>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Ley de Regulación de los Servicios de Información sobre el Historial de Crédito de las Personas (Decreto Legislativo No. 695, 2011)</w:t>
            </w:r>
          </w:p>
        </w:tc>
        <w:tc>
          <w:tcPr>
            <w:tcW w:type="dxa" w:w="102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Asamblea Legislativa</w:t>
            </w:r>
          </w:p>
        </w:tc>
        <w:tc>
          <w:tcPr>
            <w:tcW w:type="dxa" w:w="23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Protege el honor, la intimidad y la propia imagen en el manejo de datos crediticios; regula a las agencias de información de datos; derecho del consumidor a obtener copia de su historial (Arts. 17 y 18); puntos de consulta (Art. 8 reformado).</w:t>
            </w:r>
          </w:p>
        </w:tc>
        <w:tc>
          <w:tcPr>
            <w:tcW w:type="dxa" w:w="12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Agencias de información de datos y agentes económicos que usan esa información.</w:t>
            </w:r>
          </w:p>
        </w:tc>
        <w:tc>
          <w:tcPr>
            <w:tcW w:type="dxa" w:w="177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Vigente; reformada por D.L. No. 128 (Diario Oficial del 1/09/2021). Otras reformas posteriores no verificadas.</w:t>
            </w:r>
          </w:p>
        </w:tc>
        <w:tc>
          <w:tcPr>
            <w:tcW w:type="dxa" w:w="112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ssf.gob.sv – Leyes; defensoria.gob.sv</w:t>
            </w:r>
          </w:p>
        </w:tc>
      </w:tr>
      <w:tr>
        <w:trPr>
          <w:cantSplit/>
        </w:trPr>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Ley para la Protección de Datos Personales (Decreto Legislativo No. 144)</w:t>
            </w:r>
          </w:p>
        </w:tc>
        <w:tc>
          <w:tcPr>
            <w:tcW w:type="dxa" w:w="102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Asamblea Legislativa</w:t>
            </w:r>
          </w:p>
        </w:tc>
        <w:tc>
          <w:tcPr>
            <w:tcW w:type="dxa" w:w="23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Regula la protección de datos personales y el derecho a la autodeterminación informativa; supervisión a cargo de la Agencia de Ciberseguridad del Estado.</w:t>
            </w:r>
          </w:p>
        </w:tc>
        <w:tc>
          <w:tcPr>
            <w:tcW w:type="dxa" w:w="12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Responsables y encargados del tratamiento de datos.</w:t>
            </w:r>
          </w:p>
        </w:tc>
        <w:tc>
          <w:tcPr>
            <w:tcW w:type="dxa" w:w="177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Aprobada 12/11/2024; Diario Oficial del 15/11/2024; vigencia ocho días después de su publicación. Relación con la ley de historial de crédito: revisar con asesoría legal.</w:t>
            </w:r>
          </w:p>
        </w:tc>
        <w:tc>
          <w:tcPr>
            <w:tcW w:type="dxa" w:w="112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asamblea.gob.sv – Decretos</w:t>
            </w:r>
          </w:p>
        </w:tc>
      </w:tr>
      <w:tr>
        <w:trPr>
          <w:cantSplit/>
        </w:trPr>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Ley de Protección al Consumidor (Decreto Legislativo No. 776, 2005)</w:t>
            </w:r>
          </w:p>
        </w:tc>
        <w:tc>
          <w:tcPr>
            <w:tcW w:type="dxa" w:w="102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Asamblea Legislativa / Defensoría del Consumidor</w:t>
            </w:r>
          </w:p>
        </w:tc>
        <w:tc>
          <w:tcPr>
            <w:tcW w:type="dxa" w:w="23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Derechos de los consumidores en sus relaciones con proveedores, incluidos servicios financieros; información, cobros y prácticas abusivas.</w:t>
            </w:r>
          </w:p>
        </w:tc>
        <w:tc>
          <w:tcPr>
            <w:tcW w:type="dxa" w:w="12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Proveedores de bienes y servicios, incluidos acreedores.</w:t>
            </w:r>
          </w:p>
        </w:tc>
        <w:tc>
          <w:tcPr>
            <w:tcW w:type="dxa" w:w="177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Vigente desde septiembre de 2005. El estado de las reformas debatidas en 2022 no pudo confirmarse.</w:t>
            </w:r>
          </w:p>
        </w:tc>
        <w:tc>
          <w:tcPr>
            <w:tcW w:type="dxa" w:w="112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defensoria.gob.sv</w:t>
            </w:r>
          </w:p>
        </w:tc>
      </w:tr>
      <w:tr>
        <w:trPr>
          <w:cantSplit/>
        </w:trPr>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NCM-02 Normas Técnicas para la Transparencia y Divulgación de la Información de los Servicios Financieros (CNBCR-15/2018)</w:t>
            </w:r>
          </w:p>
        </w:tc>
        <w:tc>
          <w:tcPr>
            <w:tcW w:type="dxa" w:w="102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BCR – Comité de Normas</w:t>
            </w:r>
          </w:p>
        </w:tc>
        <w:tc>
          <w:tcPr>
            <w:tcW w:type="dxa" w:w="23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Medidas mínimas de transparencia para que los usuarios tomen decisiones informadas: información de costos, contratos y condiciones.</w:t>
            </w:r>
          </w:p>
        </w:tc>
        <w:tc>
          <w:tcPr>
            <w:tcW w:type="dxa" w:w="12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Sujetos obligados definidos en la norma.</w:t>
            </w:r>
          </w:p>
        </w:tc>
        <w:tc>
          <w:tcPr>
            <w:tcW w:type="dxa" w:w="177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Aprobada 20/12/2018; vigencia 07/01/2019. Reformas posteriores no verificadas.</w:t>
            </w:r>
          </w:p>
        </w:tc>
        <w:tc>
          <w:tcPr>
            <w:tcW w:type="dxa" w:w="112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bcr.gob.sv/regulaciones</w:t>
            </w:r>
          </w:p>
        </w:tc>
      </w:tr>
      <w:tr>
        <w:trPr>
          <w:cantSplit/>
        </w:trPr>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Ley contra la Usura y sus Normas Técnicas</w:t>
            </w:r>
          </w:p>
        </w:tc>
        <w:tc>
          <w:tcPr>
            <w:tcW w:type="dxa" w:w="102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Asamblea Legislativa / BCR</w:t>
            </w:r>
          </w:p>
        </w:tc>
        <w:tc>
          <w:tcPr>
            <w:tcW w:type="dxa" w:w="23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El BCR publica semestralmente las tasas máximas legales por segmento de crédito y monto; la tasa máxima equivale a 1.6 veces la tasa efectiva promedio del segmento, según las normas técnicas.</w:t>
            </w:r>
          </w:p>
        </w:tc>
        <w:tc>
          <w:tcPr>
            <w:tcW w:type="dxa" w:w="12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Acreedores en general; sanciona la SSF a los supervisados y la Defensoría del Consumidor a los demás.</w:t>
            </w:r>
          </w:p>
        </w:tc>
        <w:tc>
          <w:tcPr>
            <w:tcW w:type="dxa" w:w="177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Vigente desde el 24/02/2013. Número de decreto no verificado en esta revisión. Consultar la tasa máxima vigente en cada semestre.</w:t>
            </w:r>
          </w:p>
        </w:tc>
        <w:tc>
          <w:tcPr>
            <w:tcW w:type="dxa" w:w="112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bcr.gob.sv</w:t>
            </w:r>
          </w:p>
        </w:tc>
      </w:tr>
      <w:tr>
        <w:trPr>
          <w:cantSplit/>
        </w:trPr>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Ley de Garantías Mobiliarias</w:t>
            </w:r>
          </w:p>
        </w:tc>
        <w:tc>
          <w:tcPr>
            <w:tcW w:type="dxa" w:w="102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Asamblea Legislativa / CNR</w:t>
            </w:r>
          </w:p>
        </w:tc>
        <w:tc>
          <w:tcPr>
            <w:tcW w:type="dxa" w:w="23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Constitución, publicidad, prelación y ejecución de garantías sobre bienes muebles; Registro de Garantías Mobiliarias adscrito al Centro Nacional de Registros.</w:t>
            </w:r>
          </w:p>
        </w:tc>
        <w:tc>
          <w:tcPr>
            <w:tcW w:type="dxa" w:w="12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Acreedores y deudores que constituyen garantías mobiliarias.</w:t>
            </w:r>
          </w:p>
        </w:tc>
        <w:tc>
          <w:tcPr>
            <w:tcW w:type="dxa" w:w="177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Aprobada en 2013; el Registro se incorporó por Acuerdo No. 211-CNR/2014. Número de decreto y reformas no verificados en esta revisión.</w:t>
            </w:r>
          </w:p>
        </w:tc>
        <w:tc>
          <w:tcPr>
            <w:tcW w:type="dxa" w:w="112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5"/>
                <w:szCs w:val="15"/>
              </w:rPr>
              <w:t xml:space="preserve">cnr.gob.sv</w:t>
            </w:r>
          </w:p>
        </w:tc>
      </w:tr>
      <w:tr>
        <w:trPr>
          <w:cantSplit/>
        </w:trPr>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Código Civil, Código de Comercio y Código Procesal Civil y Mercantil</w:t>
            </w:r>
          </w:p>
        </w:tc>
        <w:tc>
          <w:tcPr>
            <w:tcW w:type="dxa" w:w="102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Asamblea Legislativa</w:t>
            </w:r>
          </w:p>
        </w:tc>
        <w:tc>
          <w:tcPr>
            <w:tcW w:type="dxa" w:w="23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Hipoteca, fianza, prenda, contratos, títulos valores y procesos de ejecución.</w:t>
            </w:r>
          </w:p>
        </w:tc>
        <w:tc>
          <w:tcPr>
            <w:tcW w:type="dxa" w:w="12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General.</w:t>
            </w:r>
          </w:p>
        </w:tc>
        <w:tc>
          <w:tcPr>
            <w:tcW w:type="dxa" w:w="177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Vigentes; artículos específicos deben ser determinados por asesoría legal según la operación.</w:t>
            </w:r>
          </w:p>
        </w:tc>
        <w:tc>
          <w:tcPr>
            <w:tcW w:type="dxa" w:w="112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asamblea.gob.sv; jurisprudencia.gob.sv</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2E7D32" w:sz="4"/>
              <w:left w:val="single" w:color="2E7D32" w:sz="24"/>
              <w:bottom w:val="single" w:color="2E7D32" w:sz="4"/>
              <w:right w:val="single" w:color="2E7D32" w:sz="4"/>
            </w:tcBorders>
            <w:shd w:fill="E8F5E9" w:color="auto" w:val="clear"/>
            <w:tcMar>
              <w:top w:type="dxa" w:w="100"/>
              <w:left w:type="dxa" w:w="180"/>
              <w:bottom w:type="dxa" w:w="100"/>
              <w:right w:type="dxa" w:w="180"/>
            </w:tcMar>
          </w:tcPr>
          <w:p>
            <w:pPr>
              <w:spacing w:after="60"/>
            </w:pPr>
            <w:r>
              <w:rPr>
                <w:b/>
                <w:bCs/>
                <w:color w:val="2E7D32"/>
                <w:sz w:val="20"/>
                <w:szCs w:val="20"/>
              </w:rPr>
              <w:t xml:space="preserve">Referencia normativa</w:t>
            </w:r>
          </w:p>
          <w:p>
            <w:pPr>
              <w:spacing w:after="50"/>
              <w:jc w:val="left"/>
            </w:pPr>
            <w:r>
              <w:rPr>
                <w:b/>
                <w:bCs/>
                <w:sz w:val="20"/>
                <w:szCs w:val="20"/>
              </w:rPr>
              <w:t xml:space="preserve">Lo que sí es obligatorio para las entidades sujetas a la NPB4-49:</w:t>
            </w:r>
            <w:r>
              <w:rPr>
                <w:sz w:val="20"/>
                <w:szCs w:val="20"/>
              </w:rPr>
              <w:t xml:space="preserve"> contar con políticas de crédito aprobadas por la Junta Directiva que cubran el otorgamiento, el seguimiento, la cobranza, la recuperación y el tratamiento de excepciones.</w:t>
            </w:r>
          </w:p>
          <w:p>
            <w:pPr>
              <w:spacing w:after="50"/>
              <w:jc w:val="left"/>
            </w:pPr>
            <w:r>
              <w:rPr>
                <w:b/>
                <w:bCs/>
                <w:sz w:val="20"/>
                <w:szCs w:val="20"/>
              </w:rPr>
              <w:t xml:space="preserve">Lo que no establece esta guía:</w:t>
            </w:r>
            <w:r>
              <w:rPr>
                <w:sz w:val="20"/>
                <w:szCs w:val="20"/>
              </w:rPr>
              <w:t xml:space="preserve"> un límite legal universal de endeudamiento para personas naturales. En la revisión realizada no se identificó una disposición general que fije un porcentaje máximo de relación deuda-ingreso aplicable a todas las entidades; los rangos que se presentan más adelante son metodológicos.</w:t>
            </w:r>
          </w:p>
        </w:tc>
      </w:tr>
    </w:tbl>
    <w:p>
      <w:pPr>
        <w:spacing w:after="120"/>
      </w:pPr>
    </w:p>
    <w:p>
      <w:pPr>
        <w:pStyle w:val="Heading3"/>
        <w:keepNext/>
      </w:pPr>
      <w:r>
        <w:t xml:space="preserve">P.5.3 Disposiciones que no pudieron verificarse completamente</w:t>
      </w:r>
    </w:p>
    <w:p>
      <w:pPr>
        <w:keepNext w:val="false"/>
        <w:spacing w:after="120" w:before="0"/>
        <w:jc w:val="both"/>
      </w:pPr>
      <w:r>
        <w:t xml:space="preserve">Por transparencia, se enumeran los aspectos que deben confirmarse en el texto oficial antes de su uso institucional:</w:t>
      </w:r>
    </w:p>
    <w:p>
      <w:pPr>
        <w:pStyle w:val="ListParagraph"/>
        <w:numPr>
          <w:ilvl w:val="0"/>
          <w:numId w:val="3"/>
        </w:numPr>
        <w:spacing w:after="60"/>
        <w:jc w:val="left"/>
      </w:pPr>
      <w:r>
        <w:t xml:space="preserve">Fecha de vigencia y reformas de la NPB4-49 y la vigencia de los rangos de mora y porcentajes de reserva de la NCB-022 (las fuentes consultadas muestran versiones con diferencias).</w:t>
      </w:r>
    </w:p>
    <w:p>
      <w:pPr>
        <w:pStyle w:val="ListParagraph"/>
        <w:numPr>
          <w:ilvl w:val="0"/>
          <w:numId w:val="3"/>
        </w:numPr>
        <w:spacing w:after="60"/>
        <w:jc w:val="left"/>
      </w:pPr>
      <w:r>
        <w:t xml:space="preserve">Número de decreto de la Ley contra la Usura y de la Ley de Garantías Mobiliarias, y sus reformas más recientes.</w:t>
      </w:r>
    </w:p>
    <w:p>
      <w:pPr>
        <w:pStyle w:val="ListParagraph"/>
        <w:numPr>
          <w:ilvl w:val="0"/>
          <w:numId w:val="3"/>
        </w:numPr>
        <w:spacing w:after="60"/>
        <w:jc w:val="left"/>
      </w:pPr>
      <w:r>
        <w:t xml:space="preserve">Adecuación de la NRP-36 y de los instructivos de la Unidad de Investigación Financiera a la Ley Especial de 2025 (D.L. No. 426).</w:t>
      </w:r>
    </w:p>
    <w:p>
      <w:pPr>
        <w:pStyle w:val="ListParagraph"/>
        <w:numPr>
          <w:ilvl w:val="0"/>
          <w:numId w:val="3"/>
        </w:numPr>
        <w:spacing w:after="60"/>
        <w:jc w:val="left"/>
      </w:pPr>
      <w:r>
        <w:t xml:space="preserve">Articulado aplicable de la Ley para la Protección de Datos Personales al tratamiento de información crediticia y su relación con la Ley de Historial de Crédito.</w:t>
      </w:r>
    </w:p>
    <w:p>
      <w:pPr>
        <w:pStyle w:val="ListParagraph"/>
        <w:numPr>
          <w:ilvl w:val="0"/>
          <w:numId w:val="3"/>
        </w:numPr>
        <w:spacing w:after="60"/>
        <w:jc w:val="left"/>
      </w:pPr>
      <w:r>
        <w:t xml:space="preserve">Estado de las reformas a la Ley de Protección al Consumidor discutidas en 2022.</w:t>
      </w:r>
    </w:p>
    <w:p>
      <w:pPr>
        <w:pStyle w:val="ListParagraph"/>
        <w:numPr>
          <w:ilvl w:val="0"/>
          <w:numId w:val="3"/>
        </w:numPr>
        <w:spacing w:after="60"/>
        <w:jc w:val="left"/>
      </w:pPr>
      <w:r>
        <w:t xml:space="preserve">Existencia de normas técnicas del BCR emitidas en 2025–2026 que sustituyan o modifiquen la NPB4-49 o la NCB-022; no se identificaron en la búsqueda, pero el portal oficial no pudo consultarse directamente.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2E75B6" w:sz="4"/>
              <w:left w:val="single" w:color="2E75B6" w:sz="24"/>
              <w:bottom w:val="single" w:color="2E75B6" w:sz="4"/>
              <w:right w:val="single" w:color="2E75B6" w:sz="4"/>
            </w:tcBorders>
            <w:shd w:fill="F2F7FC" w:color="auto" w:val="clear"/>
            <w:tcMar>
              <w:top w:type="dxa" w:w="100"/>
              <w:left w:type="dxa" w:w="180"/>
              <w:bottom w:type="dxa" w:w="100"/>
              <w:right w:type="dxa" w:w="180"/>
            </w:tcMar>
          </w:tcPr>
          <w:p>
            <w:pPr>
              <w:spacing w:after="60"/>
            </w:pPr>
            <w:r>
              <w:rPr>
                <w:b/>
                <w:bCs/>
                <w:color w:val="2E75B6"/>
                <w:sz w:val="20"/>
                <w:szCs w:val="20"/>
              </w:rPr>
              <w:t xml:space="preserve">Buena práctica recomendada (no constituye obligación legal)</w:t>
            </w:r>
          </w:p>
          <w:p>
            <w:pPr>
              <w:spacing w:after="50"/>
              <w:jc w:val="left"/>
            </w:pPr>
            <w:r>
              <w:rPr>
                <w:sz w:val="20"/>
                <w:szCs w:val="20"/>
              </w:rPr>
              <w:t xml:space="preserve">Mantener un </w:t>
            </w:r>
            <w:r>
              <w:rPr>
                <w:b/>
                <w:bCs/>
                <w:sz w:val="20"/>
                <w:szCs w:val="20"/>
              </w:rPr>
              <w:t xml:space="preserve">inventario normativo</w:t>
            </w:r>
            <w:r>
              <w:rPr>
                <w:sz w:val="20"/>
                <w:szCs w:val="20"/>
              </w:rPr>
              <w:t xml:space="preserve"> institucional (Anexo M) con responsable, fecha de última revisión y enlace oficial, y revisarlo al menos cada semestre o cuando el BCR publique nuevas normas.</w:t>
            </w:r>
          </w:p>
        </w:tc>
      </w:tr>
    </w:tbl>
    <w:p>
      <w:pPr>
        <w:spacing w:after="120"/>
      </w:pPr>
    </w:p>
    <w:p>
      <w:pPr>
        <w:pStyle w:val="Heading1"/>
        <w:pageBreakBefore/>
      </w:pPr>
      <w:r>
        <w:t xml:space="preserve">Capítulo 1. Fundamentos e importancia de la evaluación crediticia</w:t>
      </w:r>
    </w:p>
    <w:p>
      <w:pPr>
        <w:keepNext w:val="false"/>
        <w:spacing w:after="120" w:before="0"/>
        <w:jc w:val="both"/>
      </w:pPr>
      <w:r>
        <w:rPr>
          <w:i/>
          <w:iCs/>
        </w:rPr>
        <w:t xml:space="preserve">Desarrolla el apartado original 1: «Comprender la importancia de las evaluaciones crediticias».</w:t>
      </w:r>
    </w:p>
    <w:p>
      <w:pPr>
        <w:pStyle w:val="Heading2"/>
        <w:keepNext/>
      </w:pPr>
      <w:r>
        <w:t xml:space="preserve">1.1 Qué es una evaluación crediticia</w:t>
      </w:r>
    </w:p>
    <w:p>
      <w:pPr>
        <w:keepNext w:val="false"/>
        <w:spacing w:after="120" w:before="0"/>
        <w:jc w:val="both"/>
      </w:pPr>
      <w:r>
        <w:t xml:space="preserve">Una evaluación crediticia es el </w:t>
      </w:r>
      <w:r>
        <w:rPr>
          <w:b/>
          <w:bCs/>
        </w:rPr>
        <w:t xml:space="preserve">análisis ordenado de la información de una persona o empresa que solicita un préstamo</w:t>
      </w:r>
      <w:r>
        <w:t xml:space="preserve">, con el fin de estimar si podrá y querrá devolver el dinero en las condiciones pactadas, qué riesgos existen y cómo pueden reducirse. Dicho de forma sencilla: es responder, con evidencia, a la pregunta «¿es razonable prestarle este monto, a este plazo, para este destino, a esta persona?».</w:t>
      </w:r>
    </w:p>
    <w:p>
      <w:pPr>
        <w:keepNext w:val="false"/>
        <w:spacing w:after="120" w:before="0"/>
        <w:jc w:val="both"/>
      </w:pPr>
      <w:r>
        <w:t xml:space="preserve">La evaluación no es un trámite de verificación de requisitos. Es un </w:t>
      </w:r>
      <w:r>
        <w:rPr>
          <w:b/>
          <w:bCs/>
        </w:rPr>
        <w:t xml:space="preserve">juicio técnico documentado</w:t>
      </w:r>
      <w:r>
        <w:t xml:space="preserve"> que combina números (ingresos, gastos, deudas), comportamiento (historial de pagos), seguridad (garantías), contexto (sector y economía) y calidad de la información.</w:t>
      </w:r>
    </w:p>
    <w:p>
      <w:pPr>
        <w:pStyle w:val="Heading2"/>
        <w:keepNext/>
      </w:pPr>
      <w:r>
        <w:t xml:space="preserve">1.2 Para qué sirve</w:t>
      </w:r>
    </w:p>
    <w:p>
      <w:pPr>
        <w:pStyle w:val="ListParagraph"/>
        <w:numPr>
          <w:ilvl w:val="0"/>
          <w:numId w:val="4"/>
        </w:numPr>
        <w:spacing w:after="60"/>
        <w:jc w:val="left"/>
      </w:pPr>
      <w:r>
        <w:rPr>
          <w:b/>
          <w:bCs/>
        </w:rPr>
        <w:t xml:space="preserve">Proteger los recursos de la institución</w:t>
      </w:r>
      <w:r>
        <w:t xml:space="preserve">, que en buena parte provienen de depósitos y aportaciones de terceros (ahorrantes, asociados, inversionistas).</w:t>
      </w:r>
    </w:p>
    <w:p>
      <w:pPr>
        <w:pStyle w:val="ListParagraph"/>
        <w:numPr>
          <w:ilvl w:val="0"/>
          <w:numId w:val="4"/>
        </w:numPr>
        <w:spacing w:after="60"/>
        <w:jc w:val="left"/>
      </w:pPr>
      <w:r>
        <w:rPr>
          <w:b/>
          <w:bCs/>
        </w:rPr>
        <w:t xml:space="preserve">Reducir las pérdidas por incumplimiento</w:t>
      </w:r>
      <w:r>
        <w:t xml:space="preserve">: una operación mal evaluada puede terminar en mora, en costos de cobranza y en pérdida de capital.</w:t>
      </w:r>
    </w:p>
    <w:p>
      <w:pPr>
        <w:pStyle w:val="ListParagraph"/>
        <w:numPr>
          <w:ilvl w:val="0"/>
          <w:numId w:val="4"/>
        </w:numPr>
        <w:spacing w:after="60"/>
        <w:jc w:val="left"/>
      </w:pPr>
      <w:r>
        <w:rPr>
          <w:b/>
          <w:bCs/>
        </w:rPr>
        <w:t xml:space="preserve">Proteger al propio solicitante</w:t>
      </w:r>
      <w:r>
        <w:t xml:space="preserve"> del sobreendeudamiento: prestar a quien no puede pagar daña su historial, su patrimonio y su bienestar familiar.</w:t>
      </w:r>
    </w:p>
    <w:p>
      <w:pPr>
        <w:pStyle w:val="ListParagraph"/>
        <w:numPr>
          <w:ilvl w:val="0"/>
          <w:numId w:val="4"/>
        </w:numPr>
        <w:spacing w:after="60"/>
        <w:jc w:val="left"/>
      </w:pPr>
      <w:r>
        <w:rPr>
          <w:b/>
          <w:bCs/>
        </w:rPr>
        <w:t xml:space="preserve">Fijar condiciones adecuadas</w:t>
      </w:r>
      <w:r>
        <w:t xml:space="preserve">: monto, plazo, cuota, garantías y condiciones previas acordes al riesgo.</w:t>
      </w:r>
    </w:p>
    <w:p>
      <w:pPr>
        <w:pStyle w:val="ListParagraph"/>
        <w:numPr>
          <w:ilvl w:val="0"/>
          <w:numId w:val="4"/>
        </w:numPr>
        <w:spacing w:after="60"/>
        <w:jc w:val="left"/>
      </w:pPr>
      <w:r>
        <w:rPr>
          <w:b/>
          <w:bCs/>
        </w:rPr>
        <w:t xml:space="preserve">Sostener la rentabilidad y la solvencia</w:t>
      </w:r>
      <w:r>
        <w:t xml:space="preserve"> de la institución a largo plazo, porque la calidad de la cartera determina reservas, capital y reputación.</w:t>
      </w:r>
    </w:p>
    <w:p>
      <w:pPr>
        <w:pStyle w:val="ListParagraph"/>
        <w:numPr>
          <w:ilvl w:val="0"/>
          <w:numId w:val="4"/>
        </w:numPr>
        <w:spacing w:after="60"/>
        <w:jc w:val="left"/>
      </w:pPr>
      <w:r>
        <w:rPr>
          <w:b/>
          <w:bCs/>
        </w:rPr>
        <w:t xml:space="preserve">Cumplir la normativa y las políticas</w:t>
      </w:r>
      <w:r>
        <w:t xml:space="preserve"> que exigen procesos de otorgamiento, seguimiento y recuperación documentados.</w:t>
      </w:r>
    </w:p>
    <w:p>
      <w:pPr>
        <w:pStyle w:val="Heading2"/>
        <w:keepNext/>
      </w:pPr>
      <w:r>
        <w:t xml:space="preserve">1.3 Quiénes participan</w:t>
      </w:r>
    </w:p>
    <w:p>
      <w:pPr>
        <w:keepNext/>
        <w:spacing w:after="60" w:before="120"/>
      </w:pPr>
      <w:r>
        <w:rPr>
          <w:b/>
          <w:bCs/>
          <w:color w:val="1F3864"/>
          <w:sz w:val="19"/>
          <w:szCs w:val="19"/>
        </w:rPr>
        <w:t xml:space="preserve">Tabla 1.1. Participantes y responsabilidades (las funciones concretas dependen de cada institución)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4212"/>
        <w:gridCol w:w="3089"/>
      </w:tblGrid>
      <w:tr>
        <w:trPr>
          <w:cantSplit/>
          <w:tblHeader/>
        </w:trPr>
        <w:tc>
          <w:tcPr>
            <w:tcW w:type="dxa" w:w="205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Participante</w:t>
            </w:r>
          </w:p>
        </w:tc>
        <w:tc>
          <w:tcPr>
            <w:tcW w:type="dxa" w:w="421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Función principal en la evaluación</w:t>
            </w:r>
          </w:p>
        </w:tc>
        <w:tc>
          <w:tcPr>
            <w:tcW w:type="dxa" w:w="308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Lo que no debería hacer</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Oficial de negocios o asesor</w:t>
            </w:r>
          </w:p>
        </w:tc>
        <w:tc>
          <w:tcPr>
            <w:tcW w:type="dxa" w:w="421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Recibe la solicitud, orienta al cliente, recopila documentos, visita el negocio o domicilio cuando corresponde.</w:t>
            </w:r>
          </w:p>
        </w:tc>
        <w:tc>
          <w:tcPr>
            <w:tcW w:type="dxa" w:w="308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Aprobar su propia operación o ocultar información desfavorable para cumplir metas.</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Analista de crédito</w:t>
            </w:r>
          </w:p>
        </w:tc>
        <w:tc>
          <w:tcPr>
            <w:tcW w:type="dxa" w:w="421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Verifica información, calcula indicadores, identifica riesgos, redacta el informe y la recomendación.</w:t>
            </w:r>
          </w:p>
        </w:tc>
        <w:tc>
          <w:tcPr>
            <w:tcW w:type="dxa" w:w="308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Recomendar sin evidencia o modificar datos para “hacer pasar” una operación.</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Área de riesgos</w:t>
            </w:r>
          </w:p>
        </w:tc>
        <w:tc>
          <w:tcPr>
            <w:tcW w:type="dxa" w:w="421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Define metodologías, modelos y límites; revisa operaciones según política; monitorea la cartera.</w:t>
            </w:r>
          </w:p>
        </w:tc>
        <w:tc>
          <w:tcPr>
            <w:tcW w:type="dxa" w:w="308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Sustituir el análisis individual por una sola puntuación.</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Comité de crédito o instancia aprobadora</w:t>
            </w:r>
          </w:p>
        </w:tc>
        <w:tc>
          <w:tcPr>
            <w:tcW w:type="dxa" w:w="421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Decide dentro de sus facultades delegadas, con base en el informe.</w:t>
            </w:r>
          </w:p>
        </w:tc>
        <w:tc>
          <w:tcPr>
            <w:tcW w:type="dxa" w:w="308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Aprobar fuera de sus atribuciones o sin dejar constancia de la justificación.</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Área legal</w:t>
            </w:r>
          </w:p>
        </w:tc>
        <w:tc>
          <w:tcPr>
            <w:tcW w:type="dxa" w:w="421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Revisa garantías, poderes, contratos y formalización.</w:t>
            </w:r>
          </w:p>
        </w:tc>
        <w:tc>
          <w:tcPr>
            <w:tcW w:type="dxa" w:w="308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Formalizar con documentos incompletos o sin verificar titularidad.</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Operaciones / desembolsos</w:t>
            </w:r>
          </w:p>
        </w:tc>
        <w:tc>
          <w:tcPr>
            <w:tcW w:type="dxa" w:w="421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Verifica que se cumplan condiciones previas y desembolsa.</w:t>
            </w:r>
          </w:p>
        </w:tc>
        <w:tc>
          <w:tcPr>
            <w:tcW w:type="dxa" w:w="308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Desembolsar con condiciones pendientes.</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Cumplimiento</w:t>
            </w:r>
          </w:p>
        </w:tc>
        <w:tc>
          <w:tcPr>
            <w:tcW w:type="dxa" w:w="421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Debida diligencia del cliente y prevención de lavado de activos.</w:t>
            </w:r>
          </w:p>
        </w:tc>
        <w:tc>
          <w:tcPr>
            <w:tcW w:type="dxa" w:w="308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Omitir alertas por presión comercial.</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Auditoría interna</w:t>
            </w:r>
          </w:p>
        </w:tc>
        <w:tc>
          <w:tcPr>
            <w:tcW w:type="dxa" w:w="421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Evalúa de forma independiente el cumplimiento del proceso.</w:t>
            </w:r>
          </w:p>
        </w:tc>
        <w:tc>
          <w:tcPr>
            <w:tcW w:type="dxa" w:w="308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Participar en la decisión que luego auditará.</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Cobranza / recuperación</w:t>
            </w:r>
          </w:p>
        </w:tc>
        <w:tc>
          <w:tcPr>
            <w:tcW w:type="dxa" w:w="421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Gestiona atrasos y recuperación.</w:t>
            </w:r>
          </w:p>
        </w:tc>
        <w:tc>
          <w:tcPr>
            <w:tcW w:type="dxa" w:w="308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Aplicar prácticas de cobro que vulneren derechos del consumidor.</w:t>
            </w:r>
          </w:p>
        </w:tc>
      </w:tr>
    </w:tbl>
    <w:p>
      <w:pPr>
        <w:spacing w:after="120"/>
      </w:pPr>
    </w:p>
    <w:p>
      <w:pPr>
        <w:pStyle w:val="Heading2"/>
        <w:keepNext/>
      </w:pPr>
      <w:r>
        <w:t xml:space="preserve">1.4 Conceptos básicos que no deben confundirse</w:t>
      </w:r>
    </w:p>
    <w:p>
      <w:pPr>
        <w:keepNext/>
        <w:spacing w:after="60" w:before="120"/>
      </w:pPr>
      <w:r>
        <w:rPr>
          <w:b/>
          <w:bCs/>
          <w:color w:val="1F3864"/>
          <w:sz w:val="19"/>
          <w:szCs w:val="19"/>
        </w:rPr>
        <w:t xml:space="preserve">Tabla 1.2. Conceptos fundamentales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5148"/>
        <w:gridCol w:w="2340"/>
      </w:tblGrid>
      <w:tr>
        <w:trPr>
          <w:cantSplit/>
          <w:tblHeader/>
        </w:trPr>
        <w:tc>
          <w:tcPr>
            <w:tcW w:type="dxa" w:w="187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Concepto</w:t>
            </w:r>
          </w:p>
        </w:tc>
        <w:tc>
          <w:tcPr>
            <w:tcW w:type="dxa" w:w="5148"/>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Significado en lenguaje sencillo</w:t>
            </w:r>
          </w:p>
        </w:tc>
        <w:tc>
          <w:tcPr>
            <w:tcW w:type="dxa" w:w="234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Pregunta que responde</w:t>
            </w:r>
          </w:p>
        </w:tc>
      </w:tr>
      <w:tr>
        <w:trPr>
          <w:cantSplit/>
        </w:trPr>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Capacidad de pago</w:t>
            </w:r>
          </w:p>
        </w:tc>
        <w:tc>
          <w:tcPr>
            <w:tcW w:type="dxa" w:w="51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Dinero que efectivamente le queda al solicitante, de forma recurrente, para pagar la nueva cuota después de cubrir sus gastos y deudas.</w:t>
            </w:r>
          </w:p>
        </w:tc>
        <w:tc>
          <w:tcPr>
            <w:tcW w:type="dxa" w:w="23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¿Puede pagar?</w:t>
            </w:r>
          </w:p>
        </w:tc>
      </w:tr>
      <w:tr>
        <w:trPr>
          <w:cantSplit/>
        </w:trPr>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Voluntad de pago</w:t>
            </w:r>
          </w:p>
        </w:tc>
        <w:tc>
          <w:tcPr>
            <w:tcW w:type="dxa" w:w="51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Disposición demostrada a cumplir compromisos, observada en su historial y en su conducta.</w:t>
            </w:r>
          </w:p>
        </w:tc>
        <w:tc>
          <w:tcPr>
            <w:tcW w:type="dxa" w:w="23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¿Querrá pagar?</w:t>
            </w:r>
          </w:p>
        </w:tc>
      </w:tr>
      <w:tr>
        <w:trPr>
          <w:cantSplit/>
        </w:trPr>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Solvencia patrimonial</w:t>
            </w:r>
          </w:p>
        </w:tc>
        <w:tc>
          <w:tcPr>
            <w:tcW w:type="dxa" w:w="51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Relación entre lo que la persona o empresa tiene (activos) y lo que debe (pasivos); es su «colchón» patrimonial.</w:t>
            </w:r>
          </w:p>
        </w:tc>
        <w:tc>
          <w:tcPr>
            <w:tcW w:type="dxa" w:w="23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¿Tiene respaldo si algo sale mal?</w:t>
            </w:r>
          </w:p>
        </w:tc>
      </w:tr>
      <w:tr>
        <w:trPr>
          <w:cantSplit/>
        </w:trPr>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Riesgo crediticio</w:t>
            </w:r>
          </w:p>
        </w:tc>
        <w:tc>
          <w:tcPr>
            <w:tcW w:type="dxa" w:w="51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Posibilidad de que la institución sufra una pérdida porque el deudor no paga total o parcialmente, o paga tarde.</w:t>
            </w:r>
          </w:p>
        </w:tc>
        <w:tc>
          <w:tcPr>
            <w:tcW w:type="dxa" w:w="23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¿Cuánto podríamos perder y con qué probabilidad?</w:t>
            </w:r>
          </w:p>
        </w:tc>
      </w:tr>
      <w:tr>
        <w:trPr>
          <w:cantSplit/>
        </w:trPr>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Garantía</w:t>
            </w:r>
          </w:p>
        </w:tc>
        <w:tc>
          <w:tcPr>
            <w:tcW w:type="dxa" w:w="51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Bien o persona que respalda el crédito y que puede utilizarse para recuperar la deuda si el deudor incumple.</w:t>
            </w:r>
          </w:p>
        </w:tc>
        <w:tc>
          <w:tcPr>
            <w:tcW w:type="dxa" w:w="23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¿Cómo recuperamos si no paga?</w:t>
            </w:r>
          </w:p>
        </w:tc>
      </w:tr>
      <w:tr>
        <w:trPr>
          <w:cantSplit/>
        </w:trPr>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Aprobación</w:t>
            </w:r>
          </w:p>
        </w:tc>
        <w:tc>
          <w:tcPr>
            <w:tcW w:type="dxa" w:w="51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Decisión formal de la instancia facultada de conceder el crédito en ciertas condiciones.</w:t>
            </w:r>
          </w:p>
        </w:tc>
        <w:tc>
          <w:tcPr>
            <w:tcW w:type="dxa" w:w="23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¿Quién decidió y en qué términos?</w:t>
            </w:r>
          </w:p>
        </w:tc>
      </w:tr>
      <w:tr>
        <w:trPr>
          <w:cantSplit/>
        </w:trPr>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Formalización</w:t>
            </w:r>
          </w:p>
        </w:tc>
        <w:tc>
          <w:tcPr>
            <w:tcW w:type="dxa" w:w="51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Firma de contratos, constitución e inscripción de garantías y cumplimiento de requisitos legales.</w:t>
            </w:r>
          </w:p>
        </w:tc>
        <w:tc>
          <w:tcPr>
            <w:tcW w:type="dxa" w:w="23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¿Está jurídicamente bien instrumentado?</w:t>
            </w:r>
          </w:p>
        </w:tc>
      </w:tr>
      <w:tr>
        <w:trPr>
          <w:cantSplit/>
        </w:trPr>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Desembolso</w:t>
            </w:r>
          </w:p>
        </w:tc>
        <w:tc>
          <w:tcPr>
            <w:tcW w:type="dxa" w:w="51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Entrega efectiva de los fondos, una vez verificadas las condiciones previas.</w:t>
            </w:r>
          </w:p>
        </w:tc>
        <w:tc>
          <w:tcPr>
            <w:tcW w:type="dxa" w:w="23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¿Se cumplieron todas las condiciones antes de entregar el dinero?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77C02" w:sz="4"/>
              <w:left w:val="single" w:color="C77C02" w:sz="24"/>
              <w:bottom w:val="single" w:color="C77C02" w:sz="4"/>
              <w:right w:val="single" w:color="C77C02" w:sz="4"/>
            </w:tcBorders>
            <w:shd w:fill="FFF4E0" w:color="auto" w:val="clear"/>
            <w:tcMar>
              <w:top w:type="dxa" w:w="100"/>
              <w:left w:type="dxa" w:w="180"/>
              <w:bottom w:type="dxa" w:w="100"/>
              <w:right w:type="dxa" w:w="180"/>
            </w:tcMar>
          </w:tcPr>
          <w:p>
            <w:pPr>
              <w:spacing w:after="60"/>
            </w:pPr>
            <w:r>
              <w:rPr>
                <w:b/>
                <w:bCs/>
                <w:color w:val="C77C02"/>
                <w:sz w:val="20"/>
                <w:szCs w:val="20"/>
              </w:rPr>
              <w:t xml:space="preserve">Idea clave</w:t>
            </w:r>
          </w:p>
          <w:p>
            <w:pPr>
              <w:spacing w:after="50"/>
              <w:jc w:val="left"/>
            </w:pPr>
            <w:r>
              <w:rPr>
                <w:sz w:val="20"/>
                <w:szCs w:val="20"/>
              </w:rPr>
              <w:t xml:space="preserve">Un solicitante puede tener </w:t>
            </w:r>
            <w:r>
              <w:rPr>
                <w:b/>
                <w:bCs/>
                <w:sz w:val="20"/>
                <w:szCs w:val="20"/>
              </w:rPr>
              <w:t xml:space="preserve">mucha voluntad</w:t>
            </w:r>
            <w:r>
              <w:rPr>
                <w:sz w:val="20"/>
                <w:szCs w:val="20"/>
              </w:rPr>
              <w:t xml:space="preserve"> pero </w:t>
            </w:r>
            <w:r>
              <w:rPr>
                <w:b/>
                <w:bCs/>
                <w:sz w:val="20"/>
                <w:szCs w:val="20"/>
              </w:rPr>
              <w:t xml:space="preserve">poca capacidad</w:t>
            </w:r>
            <w:r>
              <w:rPr>
                <w:sz w:val="20"/>
                <w:szCs w:val="20"/>
              </w:rPr>
              <w:t xml:space="preserve"> (quiere pagar, pero no le alcanza), o </w:t>
            </w:r>
            <w:r>
              <w:rPr>
                <w:b/>
                <w:bCs/>
                <w:sz w:val="20"/>
                <w:szCs w:val="20"/>
              </w:rPr>
              <w:t xml:space="preserve">mucha capacidad</w:t>
            </w:r>
            <w:r>
              <w:rPr>
                <w:sz w:val="20"/>
                <w:szCs w:val="20"/>
              </w:rPr>
              <w:t xml:space="preserve"> y </w:t>
            </w:r>
            <w:r>
              <w:rPr>
                <w:b/>
                <w:bCs/>
                <w:sz w:val="20"/>
                <w:szCs w:val="20"/>
              </w:rPr>
              <w:t xml:space="preserve">poca voluntad</w:t>
            </w:r>
            <w:r>
              <w:rPr>
                <w:sz w:val="20"/>
                <w:szCs w:val="20"/>
              </w:rPr>
              <w:t xml:space="preserve"> (le alcanza, pero tiene historial de incumplimientos). También puede tener </w:t>
            </w:r>
            <w:r>
              <w:rPr>
                <w:b/>
                <w:bCs/>
                <w:sz w:val="20"/>
                <w:szCs w:val="20"/>
              </w:rPr>
              <w:t xml:space="preserve">mucho patrimonio</w:t>
            </w:r>
            <w:r>
              <w:rPr>
                <w:sz w:val="20"/>
                <w:szCs w:val="20"/>
              </w:rPr>
              <w:t xml:space="preserve"> pero </w:t>
            </w:r>
            <w:r>
              <w:rPr>
                <w:b/>
                <w:bCs/>
                <w:sz w:val="20"/>
                <w:szCs w:val="20"/>
              </w:rPr>
              <w:t xml:space="preserve">poco flujo</w:t>
            </w:r>
            <w:r>
              <w:rPr>
                <w:sz w:val="20"/>
                <w:szCs w:val="20"/>
              </w:rPr>
              <w:t xml:space="preserve">: posee una casa valiosa, pero sus ingresos mensuales no cubren la cuota. La evaluación integral considera los tres planos a la vez.</w:t>
            </w:r>
          </w:p>
        </w:tc>
      </w:tr>
    </w:tbl>
    <w:p>
      <w:pPr>
        <w:spacing w:after="120"/>
      </w:pPr>
    </w:p>
    <w:p>
      <w:pPr>
        <w:pStyle w:val="Heading2"/>
        <w:keepNext/>
      </w:pPr>
      <w:r>
        <w:t xml:space="preserve">1.5 Ejemplos de buenas y malas decisiones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2E75B6" w:sz="4"/>
              <w:left w:val="single" w:color="2E75B6" w:sz="24"/>
              <w:bottom w:val="single" w:color="2E75B6" w:sz="4"/>
              <w:right w:val="single" w:color="2E75B6" w:sz="4"/>
            </w:tcBorders>
            <w:shd w:fill="F2F7FC" w:color="auto" w:val="clear"/>
            <w:tcMar>
              <w:top w:type="dxa" w:w="100"/>
              <w:left w:type="dxa" w:w="180"/>
              <w:bottom w:type="dxa" w:w="100"/>
              <w:right w:type="dxa" w:w="180"/>
            </w:tcMar>
          </w:tcPr>
          <w:p>
            <w:pPr>
              <w:spacing w:after="60"/>
            </w:pPr>
            <w:r>
              <w:rPr>
                <w:b/>
                <w:bCs/>
                <w:color w:val="2E75B6"/>
                <w:sz w:val="20"/>
                <w:szCs w:val="20"/>
              </w:rPr>
              <w:t xml:space="preserve">Ejemplo (datos ficticios) — decisión adecuada</w:t>
            </w:r>
          </w:p>
          <w:p>
            <w:pPr>
              <w:spacing w:after="50"/>
              <w:jc w:val="left"/>
            </w:pPr>
            <w:r>
              <w:rPr>
                <w:sz w:val="20"/>
                <w:szCs w:val="20"/>
              </w:rPr>
              <w:t xml:space="preserve">Una docente con salario neto de US$1,050 solicita US$4,000. Tras descontar gastos esenciales (US$560) y una deuda actual (US$90), le quedan US$400. La cuota estimada es de US$140; aun si sus gastos suben 10 %, conserva un margen positivo. Historial sin atrasos. </w:t>
            </w:r>
            <w:r>
              <w:rPr>
                <w:b/>
                <w:bCs/>
                <w:sz w:val="20"/>
                <w:szCs w:val="20"/>
              </w:rPr>
              <w:t xml:space="preserve">Se recomienda</w:t>
            </w:r>
            <w:r>
              <w:rPr>
                <w:sz w:val="20"/>
                <w:szCs w:val="20"/>
              </w:rPr>
              <w:t xml:space="preserve"> con domiciliación de la cuota. La decisión está sustentada en capacidad, voluntad y estabilidad.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2E75B6" w:sz="4"/>
              <w:left w:val="single" w:color="2E75B6" w:sz="24"/>
              <w:bottom w:val="single" w:color="2E75B6" w:sz="4"/>
              <w:right w:val="single" w:color="2E75B6" w:sz="4"/>
            </w:tcBorders>
            <w:shd w:fill="F2F7FC" w:color="auto" w:val="clear"/>
            <w:tcMar>
              <w:top w:type="dxa" w:w="100"/>
              <w:left w:type="dxa" w:w="180"/>
              <w:bottom w:type="dxa" w:w="100"/>
              <w:right w:type="dxa" w:w="180"/>
            </w:tcMar>
          </w:tcPr>
          <w:p>
            <w:pPr>
              <w:spacing w:after="60"/>
            </w:pPr>
            <w:r>
              <w:rPr>
                <w:b/>
                <w:bCs/>
                <w:color w:val="2E75B6"/>
                <w:sz w:val="20"/>
                <w:szCs w:val="20"/>
              </w:rPr>
              <w:t xml:space="preserve">Ejemplo (datos ficticios) — decisión deficiente</w:t>
            </w:r>
          </w:p>
          <w:p>
            <w:pPr>
              <w:spacing w:after="50"/>
              <w:jc w:val="left"/>
            </w:pPr>
            <w:r>
              <w:rPr>
                <w:sz w:val="20"/>
                <w:szCs w:val="20"/>
              </w:rPr>
              <w:t xml:space="preserve">Un comerciante declara ventas de US$12,000 mensuales, pero sus estados de cuenta muestran depósitos promedio de US$5,500. El analista usa la cifra declarada porque «tiene una casa en garantía». Seis meses después hay mora: el flujo real no alcanzaba. </w:t>
            </w:r>
            <w:r>
              <w:rPr>
                <w:b/>
                <w:bCs/>
                <w:sz w:val="20"/>
                <w:szCs w:val="20"/>
              </w:rPr>
              <w:t xml:space="preserve">Error:</w:t>
            </w:r>
            <w:r>
              <w:rPr>
                <w:sz w:val="20"/>
                <w:szCs w:val="20"/>
              </w:rPr>
              <w:t xml:space="preserve"> se aceptó un ingreso no comprobado y se usó la garantía como sustituto de la capacidad de pago.</w:t>
            </w:r>
          </w:p>
        </w:tc>
      </w:tr>
    </w:tbl>
    <w:p>
      <w:pPr>
        <w:spacing w:after="120"/>
      </w:pPr>
    </w:p>
    <w:p>
      <w:pPr>
        <w:pStyle w:val="Heading2"/>
        <w:keepNext/>
      </w:pPr>
      <w:r>
        <w:t xml:space="preserve">1.6 Consecuencias de una evaluación deficiente</w:t>
      </w:r>
    </w:p>
    <w:p>
      <w:pPr>
        <w:keepNext/>
        <w:spacing w:after="60" w:before="120"/>
      </w:pPr>
      <w:r>
        <w:rPr>
          <w:b/>
          <w:bCs/>
          <w:color w:val="1F3864"/>
          <w:sz w:val="19"/>
          <w:szCs w:val="19"/>
        </w:rPr>
        <w:t xml:space="preserve">Tabla 1.3. Consecuencias de evaluar 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3088"/>
        <w:gridCol w:w="3090"/>
      </w:tblGrid>
      <w:tr>
        <w:trPr>
          <w:cantSplit/>
          <w:tblHeader/>
        </w:trPr>
        <w:tc>
          <w:tcPr>
            <w:tcW w:type="dxa" w:w="318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Para la institución</w:t>
            </w:r>
          </w:p>
        </w:tc>
        <w:tc>
          <w:tcPr>
            <w:tcW w:type="dxa" w:w="3088"/>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Para el cliente</w:t>
            </w:r>
          </w:p>
        </w:tc>
        <w:tc>
          <w:tcPr>
            <w:tcW w:type="dxa" w:w="309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Para el sistema</w:t>
            </w:r>
          </w:p>
        </w:tc>
      </w:tr>
      <w:tr>
        <w:trPr>
          <w:cantSplit/>
        </w:trPr>
        <w:tc>
          <w:tcPr>
            <w:tcW w:type="dxa" w:w="318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Pérdidas de capital e intereses; mayores reservas; costos de cobranza y litigio; deterioro de indicadores; riesgo reputacional; observaciones del supervisor.</w:t>
            </w:r>
          </w:p>
        </w:tc>
        <w:tc>
          <w:tcPr>
            <w:tcW w:type="dxa" w:w="308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Sobreendeudamiento; deterioro del historial crediticio; pérdida de bienes en garantía; estrés familiar; exclusión futura del crédito.</w:t>
            </w:r>
          </w:p>
        </w:tc>
        <w:tc>
          <w:tcPr>
            <w:tcW w:type="dxa" w:w="309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Menor confianza; encarecimiento del crédito para todos; concentración de riesgos; menor inclusión financiera responsable.</w:t>
            </w:r>
          </w:p>
        </w:tc>
      </w:tr>
    </w:tbl>
    <w:p>
      <w:pPr>
        <w:spacing w:after="120"/>
      </w:pPr>
    </w:p>
    <w:p>
      <w:pPr>
        <w:pStyle w:val="Heading2"/>
        <w:keepNext/>
      </w:pPr>
      <w:r>
        <w:t xml:space="preserve">1.7 Principios rectores de esta guía</w:t>
      </w:r>
    </w:p>
    <w:p>
      <w:pPr>
        <w:pStyle w:val="ListParagraph"/>
        <w:numPr>
          <w:ilvl w:val="0"/>
          <w:numId w:val="5"/>
        </w:numPr>
        <w:spacing w:after="60"/>
        <w:jc w:val="left"/>
      </w:pPr>
      <w:r>
        <w:rPr>
          <w:b/>
          <w:bCs/>
        </w:rPr>
        <w:t xml:space="preserve">La capacidad de pago es la primera fuente de repago</w:t>
      </w:r>
      <w:r>
        <w:t xml:space="preserve">; la garantía es la segunda.</w:t>
      </w:r>
    </w:p>
    <w:p>
      <w:pPr>
        <w:pStyle w:val="ListParagraph"/>
        <w:numPr>
          <w:ilvl w:val="0"/>
          <w:numId w:val="5"/>
        </w:numPr>
        <w:spacing w:after="60"/>
        <w:jc w:val="left"/>
      </w:pPr>
      <w:r>
        <w:rPr>
          <w:b/>
          <w:bCs/>
        </w:rPr>
        <w:t xml:space="preserve">Lo que no se verifica no se usa</w:t>
      </w:r>
      <w:r>
        <w:t xml:space="preserve"> en el cálculo, o se usa con un ajuste prudente y documentado.</w:t>
      </w:r>
    </w:p>
    <w:p>
      <w:pPr>
        <w:pStyle w:val="ListParagraph"/>
        <w:numPr>
          <w:ilvl w:val="0"/>
          <w:numId w:val="5"/>
        </w:numPr>
        <w:spacing w:after="60"/>
        <w:jc w:val="left"/>
      </w:pPr>
      <w:r>
        <w:rPr>
          <w:b/>
          <w:bCs/>
        </w:rPr>
        <w:t xml:space="preserve">Proporcionalidad</w:t>
      </w:r>
      <w:r>
        <w:t xml:space="preserve">: la profundidad del análisis depende del monto, el producto y el riesgo.</w:t>
      </w:r>
    </w:p>
    <w:p>
      <w:pPr>
        <w:pStyle w:val="ListParagraph"/>
        <w:numPr>
          <w:ilvl w:val="0"/>
          <w:numId w:val="5"/>
        </w:numPr>
        <w:spacing w:after="60"/>
        <w:jc w:val="left"/>
      </w:pPr>
      <w:r>
        <w:rPr>
          <w:b/>
          <w:bCs/>
        </w:rPr>
        <w:t xml:space="preserve">Consistencia</w:t>
      </w:r>
      <w:r>
        <w:t xml:space="preserve">: solicitudes comparables deben evaluarse con criterios comparables.</w:t>
      </w:r>
    </w:p>
    <w:p>
      <w:pPr>
        <w:pStyle w:val="ListParagraph"/>
        <w:numPr>
          <w:ilvl w:val="0"/>
          <w:numId w:val="5"/>
        </w:numPr>
        <w:spacing w:after="60"/>
        <w:jc w:val="left"/>
      </w:pPr>
      <w:r>
        <w:rPr>
          <w:b/>
          <w:bCs/>
        </w:rPr>
        <w:t xml:space="preserve">Trazabilidad</w:t>
      </w:r>
      <w:r>
        <w:t xml:space="preserve">: todo dato debe tener fuente y fecha; todo cálculo debe poder reproducirse.</w:t>
      </w:r>
    </w:p>
    <w:p>
      <w:pPr>
        <w:pStyle w:val="ListParagraph"/>
        <w:numPr>
          <w:ilvl w:val="0"/>
          <w:numId w:val="5"/>
        </w:numPr>
        <w:spacing w:after="60"/>
        <w:jc w:val="left"/>
      </w:pPr>
      <w:r>
        <w:rPr>
          <w:b/>
          <w:bCs/>
        </w:rPr>
        <w:t xml:space="preserve">Prudencia</w:t>
      </w:r>
      <w:r>
        <w:t xml:space="preserve">: los escenarios adversos forman parte de la evaluación, no son un adorno.</w:t>
      </w:r>
    </w:p>
    <w:p>
      <w:pPr>
        <w:pStyle w:val="ListParagraph"/>
        <w:numPr>
          <w:ilvl w:val="0"/>
          <w:numId w:val="5"/>
        </w:numPr>
        <w:spacing w:after="60"/>
        <w:jc w:val="left"/>
      </w:pPr>
      <w:r>
        <w:rPr>
          <w:b/>
          <w:bCs/>
        </w:rPr>
        <w:t xml:space="preserve">Separación de funciones</w:t>
      </w:r>
      <w:r>
        <w:t xml:space="preserve">: quien vende no aprueba; quien aprueba no desembolsa sin control.</w:t>
      </w:r>
    </w:p>
    <w:p>
      <w:pPr>
        <w:pStyle w:val="ListParagraph"/>
        <w:numPr>
          <w:ilvl w:val="0"/>
          <w:numId w:val="5"/>
        </w:numPr>
        <w:spacing w:after="60"/>
        <w:jc w:val="left"/>
      </w:pPr>
      <w:r>
        <w:rPr>
          <w:b/>
          <w:bCs/>
        </w:rPr>
        <w:t xml:space="preserve">Trato justo</w:t>
      </w:r>
      <w:r>
        <w:t xml:space="preserve">: información clara al cliente, uso responsable de sus datos y respeto a sus derechos.</w:t>
      </w:r>
    </w:p>
    <w:p>
      <w:pPr>
        <w:pStyle w:val="Heading1"/>
        <w:pageBreakBefore/>
      </w:pPr>
      <w:r>
        <w:t xml:space="preserve">Capítulo 2. Recepción del expediente y recopilación de información</w:t>
      </w:r>
    </w:p>
    <w:p>
      <w:pPr>
        <w:keepNext w:val="false"/>
        <w:spacing w:after="120" w:before="0"/>
        <w:jc w:val="both"/>
      </w:pPr>
      <w:r>
        <w:rPr>
          <w:i/>
          <w:iCs/>
        </w:rPr>
        <w:t xml:space="preserve">Desarrolla, junto con el Capítulo 3, el apartado original 2: «Recopilación y análisis de información financiera».</w:t>
      </w:r>
    </w:p>
    <w:p>
      <w:pPr>
        <w:pStyle w:val="Heading2"/>
        <w:keepNext/>
      </w:pPr>
      <w:r>
        <w:t xml:space="preserve">2.1 El expediente de crédito: qué es y por qué importa</w:t>
      </w:r>
    </w:p>
    <w:p>
      <w:pPr>
        <w:keepNext w:val="false"/>
        <w:spacing w:after="120" w:before="0"/>
        <w:jc w:val="both"/>
      </w:pPr>
      <w:r>
        <w:t xml:space="preserve">El </w:t>
      </w:r>
      <w:r>
        <w:rPr>
          <w:b/>
          <w:bCs/>
        </w:rPr>
        <w:t xml:space="preserve">expediente de crédito</w:t>
      </w:r>
      <w:r>
        <w:t xml:space="preserve"> es el conjunto ordenado de documentos, verificaciones, cálculos y decisiones de una operación. Sirve para tres cosas: (1) sustentar la evaluación, (2) permitir que otra persona —un comité, un auditor o el supervisor— entienda y revise lo que se decidió, y (3) respaldar jurídicamente a la institución en caso de cobro.</w:t>
      </w:r>
    </w:p>
    <w:p>
      <w:pPr>
        <w:keepNext w:val="false"/>
        <w:spacing w:after="120" w:before="0"/>
        <w:jc w:val="both"/>
      </w:pPr>
      <w:r>
        <w:t xml:space="preserve">La recepción del expediente es la primera línea de control: un expediente incompleto o inconsistente no debería pasar a análisis sin que se registre qué falta y por qué.</w:t>
      </w:r>
    </w:p>
    <w:p>
      <w:pPr>
        <w:pStyle w:val="Heading2"/>
        <w:keepNext/>
      </w:pPr>
      <w:r>
        <w:t xml:space="preserve">2.2 Clasificación de la documentación</w:t>
      </w:r>
    </w:p>
    <w:p>
      <w:pPr>
        <w:keepNext/>
        <w:spacing w:after="60" w:before="120"/>
      </w:pPr>
      <w:r>
        <w:rPr>
          <w:b/>
          <w:bCs/>
          <w:color w:val="1F3864"/>
          <w:sz w:val="19"/>
          <w:szCs w:val="19"/>
        </w:rPr>
        <w:t xml:space="preserve">Tabla 2.1. Tipos de documentación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4118"/>
        <w:gridCol w:w="2996"/>
      </w:tblGrid>
      <w:tr>
        <w:trPr>
          <w:cantSplit/>
          <w:tblHeader/>
        </w:trPr>
        <w:tc>
          <w:tcPr>
            <w:tcW w:type="dxa" w:w="224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Categoría</w:t>
            </w:r>
          </w:p>
        </w:tc>
        <w:tc>
          <w:tcPr>
            <w:tcW w:type="dxa" w:w="4118"/>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Descripción</w:t>
            </w:r>
          </w:p>
        </w:tc>
        <w:tc>
          <w:tcPr>
            <w:tcW w:type="dxa" w:w="299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Ejemplos</w:t>
            </w:r>
          </w:p>
        </w:tc>
      </w:tr>
      <w:tr>
        <w:trPr>
          <w:cantSplit/>
        </w:trPr>
        <w:tc>
          <w:tcPr>
            <w:tcW w:type="dxa" w:w="224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Documentación necesaria</w:t>
            </w:r>
          </w:p>
        </w:tc>
        <w:tc>
          <w:tcPr>
            <w:tcW w:type="dxa" w:w="411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Indispensable para evaluar la operación según el producto y el tipo de solicitante. Sin ella no puede concluirse el análisis.</w:t>
            </w:r>
          </w:p>
        </w:tc>
        <w:tc>
          <w:tcPr>
            <w:tcW w:type="dxa" w:w="299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Identificación, comprobantes de ingresos, autorización de consulta de historial, solicitud firmada.</w:t>
            </w:r>
          </w:p>
        </w:tc>
      </w:tr>
      <w:tr>
        <w:trPr>
          <w:cantSplit/>
        </w:trPr>
        <w:tc>
          <w:tcPr>
            <w:tcW w:type="dxa" w:w="224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Documentación complementaria</w:t>
            </w:r>
          </w:p>
        </w:tc>
        <w:tc>
          <w:tcPr>
            <w:tcW w:type="dxa" w:w="411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Refuerza o aclara el análisis; se solicita según el caso, el monto o las alertas detectadas.</w:t>
            </w:r>
          </w:p>
        </w:tc>
        <w:tc>
          <w:tcPr>
            <w:tcW w:type="dxa" w:w="299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Estados de cuenta adicionales, contratos con clientes, referencias comerciales, fotografías del negocio.</w:t>
            </w:r>
          </w:p>
        </w:tc>
      </w:tr>
      <w:tr>
        <w:trPr>
          <w:cantSplit/>
        </w:trPr>
        <w:tc>
          <w:tcPr>
            <w:tcW w:type="dxa" w:w="224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Documentación exigida por normativa o política</w:t>
            </w:r>
          </w:p>
        </w:tc>
        <w:tc>
          <w:tcPr>
            <w:tcW w:type="dxa" w:w="411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Requerida por ley, norma prudencial o política aprobada (por ejemplo, para debida diligencia o constitución de garantías).</w:t>
            </w:r>
          </w:p>
        </w:tc>
        <w:tc>
          <w:tcPr>
            <w:tcW w:type="dxa" w:w="299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Formularios de conocimiento del cliente, declaración de origen de fondos según política de cumplimiento, documentos registrales de la garantía.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77C02" w:sz="4"/>
              <w:left w:val="single" w:color="C77C02" w:sz="24"/>
              <w:bottom w:val="single" w:color="C77C02" w:sz="4"/>
              <w:right w:val="single" w:color="C77C02" w:sz="4"/>
            </w:tcBorders>
            <w:shd w:fill="FFF4E0" w:color="auto" w:val="clear"/>
            <w:tcMar>
              <w:top w:type="dxa" w:w="100"/>
              <w:left w:type="dxa" w:w="180"/>
              <w:bottom w:type="dxa" w:w="100"/>
              <w:right w:type="dxa" w:w="180"/>
            </w:tcMar>
          </w:tcPr>
          <w:p>
            <w:pPr>
              <w:spacing w:after="60"/>
            </w:pPr>
            <w:r>
              <w:rPr>
                <w:b/>
                <w:bCs/>
                <w:color w:val="C77C02"/>
                <w:sz w:val="20"/>
                <w:szCs w:val="20"/>
              </w:rPr>
              <w:t xml:space="preserve">Nota metodológica</w:t>
            </w:r>
          </w:p>
          <w:p>
            <w:pPr>
              <w:spacing w:after="50"/>
              <w:jc w:val="left"/>
            </w:pPr>
            <w:r>
              <w:rPr>
                <w:sz w:val="20"/>
                <w:szCs w:val="20"/>
              </w:rPr>
              <w:t xml:space="preserve">No existe una lista universal válida para todos los productos. Un crédito de consumo de bajo monto con descuento por planilla no requiere la misma documentación que un crédito empresarial con garantía hipotecaria. Cada institución debe definir, en su política, la documentación por producto, monto y tipo de cliente.</w:t>
            </w:r>
          </w:p>
        </w:tc>
      </w:tr>
    </w:tbl>
    <w:p>
      <w:pPr>
        <w:spacing w:after="120"/>
      </w:pPr>
    </w:p>
    <w:p>
      <w:pPr>
        <w:pStyle w:val="Heading2"/>
        <w:keepNext/>
      </w:pPr>
      <w:r>
        <w:t xml:space="preserve">2.3 Información según el tipo de solicitante</w:t>
      </w:r>
    </w:p>
    <w:p>
      <w:pPr>
        <w:pStyle w:val="Heading3"/>
        <w:keepNext/>
      </w:pPr>
      <w:r>
        <w:t xml:space="preserve">2.3.1 Personas asalariadas</w:t>
      </w:r>
    </w:p>
    <w:p>
      <w:pPr>
        <w:pStyle w:val="ListParagraph"/>
        <w:numPr>
          <w:ilvl w:val="0"/>
          <w:numId w:val="6"/>
        </w:numPr>
        <w:spacing w:after="60"/>
        <w:jc w:val="left"/>
      </w:pPr>
      <w:r>
        <w:t xml:space="preserve">Documento Único de Identidad (DUI) vigente o documento de identidad aplicable para extranjeros.</w:t>
      </w:r>
    </w:p>
    <w:p>
      <w:pPr>
        <w:pStyle w:val="ListParagraph"/>
        <w:numPr>
          <w:ilvl w:val="0"/>
          <w:numId w:val="6"/>
        </w:numPr>
        <w:spacing w:after="60"/>
        <w:jc w:val="left"/>
      </w:pPr>
      <w:r>
        <w:t xml:space="preserve">Constancia de salario reciente emitida por el empleador (cargo, fecha de ingreso, tipo de contrato, salario).</w:t>
      </w:r>
    </w:p>
    <w:p>
      <w:pPr>
        <w:pStyle w:val="ListParagraph"/>
        <w:numPr>
          <w:ilvl w:val="0"/>
          <w:numId w:val="6"/>
        </w:numPr>
        <w:spacing w:after="60"/>
        <w:jc w:val="left"/>
      </w:pPr>
      <w:r>
        <w:t xml:space="preserve">Boletas o comprobantes de pago de los últimos meses (según política), que muestren descuentos de ley y otros descuentos.</w:t>
      </w:r>
    </w:p>
    <w:p>
      <w:pPr>
        <w:pStyle w:val="ListParagraph"/>
        <w:numPr>
          <w:ilvl w:val="0"/>
          <w:numId w:val="6"/>
        </w:numPr>
        <w:spacing w:after="60"/>
        <w:jc w:val="left"/>
      </w:pPr>
      <w:r>
        <w:t xml:space="preserve">Estados de cuenta donde se acredita el salario.</w:t>
      </w:r>
    </w:p>
    <w:p>
      <w:pPr>
        <w:pStyle w:val="ListParagraph"/>
        <w:numPr>
          <w:ilvl w:val="0"/>
          <w:numId w:val="6"/>
        </w:numPr>
        <w:spacing w:after="60"/>
        <w:jc w:val="left"/>
      </w:pPr>
      <w:r>
        <w:t xml:space="preserve">Detalle de obligaciones vigentes y autorización para consultar el historial crediticio.</w:t>
      </w:r>
    </w:p>
    <w:p>
      <w:pPr>
        <w:keepNext w:val="false"/>
        <w:spacing w:after="120" w:before="0"/>
        <w:jc w:val="both"/>
      </w:pPr>
      <w:r>
        <w:rPr>
          <w:b/>
          <w:bCs/>
        </w:rPr>
        <w:t xml:space="preserve">Qué verificar:</w:t>
      </w:r>
      <w:r>
        <w:t xml:space="preserve"> que el empleador exista y la constancia sea auténtica (llamada de verificación a un número obtenido por fuente independiente), que el salario de la constancia coincida con los abonos en cuenta, que la antigüedad y el tipo de contrato sean coherentes, y si existen descuentos por planilla que reduzcan el ingreso disponible.</w:t>
      </w:r>
    </w:p>
    <w:p>
      <w:pPr>
        <w:pStyle w:val="Heading3"/>
        <w:keepNext/>
      </w:pPr>
      <w:r>
        <w:t xml:space="preserve">2.3.2 Profesionales independientes</w:t>
      </w:r>
    </w:p>
    <w:p>
      <w:pPr>
        <w:pStyle w:val="ListParagraph"/>
        <w:numPr>
          <w:ilvl w:val="0"/>
          <w:numId w:val="7"/>
        </w:numPr>
        <w:spacing w:after="60"/>
        <w:jc w:val="left"/>
      </w:pPr>
      <w:r>
        <w:t xml:space="preserve">Documento de identidad y, cuando aplique, credencial o registro profesional.</w:t>
      </w:r>
    </w:p>
    <w:p>
      <w:pPr>
        <w:pStyle w:val="ListParagraph"/>
        <w:numPr>
          <w:ilvl w:val="0"/>
          <w:numId w:val="7"/>
        </w:numPr>
        <w:spacing w:after="60"/>
        <w:jc w:val="left"/>
      </w:pPr>
      <w:r>
        <w:t xml:space="preserve">Declaraciones de impuestos presentadas y comprobantes de retenciones.</w:t>
      </w:r>
    </w:p>
    <w:p>
      <w:pPr>
        <w:pStyle w:val="ListParagraph"/>
        <w:numPr>
          <w:ilvl w:val="0"/>
          <w:numId w:val="7"/>
        </w:numPr>
        <w:spacing w:after="60"/>
        <w:jc w:val="left"/>
      </w:pPr>
      <w:r>
        <w:t xml:space="preserve">Estados de cuenta de al menos el período que defina la política (es recomendable cubrir un ciclo anual para captar estacionalidad).</w:t>
      </w:r>
    </w:p>
    <w:p>
      <w:pPr>
        <w:pStyle w:val="ListParagraph"/>
        <w:numPr>
          <w:ilvl w:val="0"/>
          <w:numId w:val="7"/>
        </w:numPr>
        <w:spacing w:after="60"/>
        <w:jc w:val="left"/>
      </w:pPr>
      <w:r>
        <w:t xml:space="preserve">Facturas o comprobantes emitidos, contratos de servicios vigentes, cartera de clientes.</w:t>
      </w:r>
    </w:p>
    <w:p>
      <w:pPr>
        <w:pStyle w:val="ListParagraph"/>
        <w:numPr>
          <w:ilvl w:val="0"/>
          <w:numId w:val="7"/>
        </w:numPr>
        <w:spacing w:after="60"/>
        <w:jc w:val="left"/>
      </w:pPr>
      <w:r>
        <w:t xml:space="preserve">Detalle de gastos propios de la actividad (local, personal, transporte, licencias).</w:t>
      </w:r>
    </w:p>
    <w:p>
      <w:pPr>
        <w:pStyle w:val="Heading3"/>
        <w:keepNext/>
      </w:pPr>
      <w:r>
        <w:t xml:space="preserve">2.3.3 Personas con ingresos variables</w:t>
      </w:r>
    </w:p>
    <w:p>
      <w:pPr>
        <w:keepNext w:val="false"/>
        <w:spacing w:after="120" w:before="0"/>
        <w:jc w:val="both"/>
      </w:pPr>
      <w:r>
        <w:t xml:space="preserve">Incluye comisionistas, trabajadores por temporada, personas con horas extra frecuentes, transportistas y trabajadores por cuenta propia. Se requiere un historial más largo de ingresos para estimar un promedio confiable y su variabilidad (ver Capítulo 4).</w:t>
      </w:r>
    </w:p>
    <w:p>
      <w:pPr>
        <w:pStyle w:val="Heading3"/>
        <w:keepNext/>
      </w:pPr>
      <w:r>
        <w:t xml:space="preserve">2.3.4 Comerciantes y propietarios de negocios</w:t>
      </w:r>
    </w:p>
    <w:p>
      <w:pPr>
        <w:pStyle w:val="ListParagraph"/>
        <w:numPr>
          <w:ilvl w:val="0"/>
          <w:numId w:val="8"/>
        </w:numPr>
        <w:spacing w:after="60"/>
        <w:jc w:val="left"/>
      </w:pPr>
      <w:r>
        <w:t xml:space="preserve">Documentos de constitución y matrícula, cuando se trate de sociedades o comerciantes inscritos.</w:t>
      </w:r>
    </w:p>
    <w:p>
      <w:pPr>
        <w:pStyle w:val="ListParagraph"/>
        <w:numPr>
          <w:ilvl w:val="0"/>
          <w:numId w:val="8"/>
        </w:numPr>
        <w:spacing w:after="60"/>
        <w:jc w:val="left"/>
      </w:pPr>
      <w:r>
        <w:t xml:space="preserve">Estados financieros (balance general y estado de resultados) y, cuando exista, estado de flujos de efectivo.</w:t>
      </w:r>
    </w:p>
    <w:p>
      <w:pPr>
        <w:pStyle w:val="ListParagraph"/>
        <w:numPr>
          <w:ilvl w:val="0"/>
          <w:numId w:val="8"/>
        </w:numPr>
        <w:spacing w:after="60"/>
        <w:jc w:val="left"/>
      </w:pPr>
      <w:r>
        <w:t xml:space="preserve">Declaraciones tributarias (renta e IVA cuando aplique) para contrastar ventas.</w:t>
      </w:r>
    </w:p>
    <w:p>
      <w:pPr>
        <w:pStyle w:val="ListParagraph"/>
        <w:numPr>
          <w:ilvl w:val="0"/>
          <w:numId w:val="8"/>
        </w:numPr>
        <w:spacing w:after="60"/>
        <w:jc w:val="left"/>
      </w:pPr>
      <w:r>
        <w:t xml:space="preserve">Estados de cuenta del negocio, registros de ventas, inventarios, cuentas por cobrar y por pagar.</w:t>
      </w:r>
    </w:p>
    <w:p>
      <w:pPr>
        <w:pStyle w:val="ListParagraph"/>
        <w:numPr>
          <w:ilvl w:val="0"/>
          <w:numId w:val="8"/>
        </w:numPr>
        <w:spacing w:after="60"/>
        <w:jc w:val="left"/>
      </w:pPr>
      <w:r>
        <w:t xml:space="preserve">Visita al negocio con registro fotográfico y verificación de la operación, cuando la política lo establezca.</w:t>
      </w:r>
    </w:p>
    <w:p>
      <w:pPr>
        <w:pStyle w:val="Heading3"/>
        <w:keepNext/>
      </w:pPr>
      <w:r>
        <w:t xml:space="preserve">2.3.5 Personas con varias fuentes de ingresos</w:t>
      </w:r>
    </w:p>
    <w:p>
      <w:pPr>
        <w:keepNext w:val="false"/>
        <w:spacing w:after="120" w:before="0"/>
        <w:jc w:val="both"/>
      </w:pPr>
      <w:r>
        <w:t xml:space="preserve">Cada fuente se documenta y verifica por separado (salario, remesas, alquileres, pensiones, negocio). Se evalúa su estabilidad individual: un alquiler con contrato que vence pronto o remesas sin historial verificable deben ponderarse con prudencia.</w:t>
      </w:r>
    </w:p>
    <w:p>
      <w:pPr>
        <w:pStyle w:val="Heading3"/>
        <w:keepNext/>
      </w:pPr>
      <w:r>
        <w:t xml:space="preserve">2.3.6 Personas jurídicas</w:t>
      </w:r>
    </w:p>
    <w:p>
      <w:pPr>
        <w:pStyle w:val="ListParagraph"/>
        <w:numPr>
          <w:ilvl w:val="0"/>
          <w:numId w:val="9"/>
        </w:numPr>
        <w:spacing w:after="60"/>
        <w:jc w:val="left"/>
      </w:pPr>
      <w:r>
        <w:t xml:space="preserve">Escritura de constitución y modificaciones, credenciales de representantes y poderes vigentes.</w:t>
      </w:r>
    </w:p>
    <w:p>
      <w:pPr>
        <w:pStyle w:val="ListParagraph"/>
        <w:numPr>
          <w:ilvl w:val="0"/>
          <w:numId w:val="9"/>
        </w:numPr>
        <w:spacing w:after="60"/>
        <w:jc w:val="left"/>
      </w:pPr>
      <w:r>
        <w:t xml:space="preserve">Identificación de accionistas y beneficiarios finales, conforme a la política de debida diligencia.</w:t>
      </w:r>
    </w:p>
    <w:p>
      <w:pPr>
        <w:pStyle w:val="ListParagraph"/>
        <w:numPr>
          <w:ilvl w:val="0"/>
          <w:numId w:val="9"/>
        </w:numPr>
        <w:spacing w:after="60"/>
        <w:jc w:val="left"/>
      </w:pPr>
      <w:r>
        <w:t xml:space="preserve">Estados financieros, preferiblemente auditados según el monto; notas a los estados financieros.</w:t>
      </w:r>
    </w:p>
    <w:p>
      <w:pPr>
        <w:pStyle w:val="ListParagraph"/>
        <w:numPr>
          <w:ilvl w:val="0"/>
          <w:numId w:val="9"/>
        </w:numPr>
        <w:spacing w:after="60"/>
        <w:jc w:val="left"/>
      </w:pPr>
      <w:r>
        <w:t xml:space="preserve">Acuerdos del órgano de administración que autoricen el endeudamiento y la constitución de garantías.</w:t>
      </w:r>
    </w:p>
    <w:p>
      <w:pPr>
        <w:pStyle w:val="ListParagraph"/>
        <w:numPr>
          <w:ilvl w:val="0"/>
          <w:numId w:val="9"/>
        </w:numPr>
        <w:spacing w:after="60"/>
        <w:jc w:val="left"/>
      </w:pPr>
      <w:r>
        <w:t xml:space="preserve">Información de grupo económico y partes relacionadas.</w:t>
      </w:r>
    </w:p>
    <w:p>
      <w:pPr>
        <w:pStyle w:val="Heading2"/>
        <w:keepNext/>
      </w:pPr>
      <w:r>
        <w:t xml:space="preserve">2.4 Revisión de identidad y debida diligencia</w:t>
      </w:r>
    </w:p>
    <w:p>
      <w:pPr>
        <w:keepNext w:val="false"/>
        <w:spacing w:after="120" w:before="0"/>
        <w:jc w:val="both"/>
      </w:pPr>
      <w:r>
        <w:t xml:space="preserve">La identificación del cliente tiene una doble finalidad: crediticia (saber a quién se presta) y de cumplimiento (prevenir el uso de la institución para lavar activos o financiar actividades ilícitas). Desde el 17 de octubre de 2025 rige la Ley Especial para la Prevención, Control y Sanción del Lavado de Activos, Financiamiento del Terrorismo y Financiamiento de la Proliferación de Armas de Destrucción Masiva (D.L. No. 426), que sustituyó a la ley de 1998.</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2E7D32" w:sz="4"/>
              <w:left w:val="single" w:color="2E7D32" w:sz="24"/>
              <w:bottom w:val="single" w:color="2E7D32" w:sz="4"/>
              <w:right w:val="single" w:color="2E7D32" w:sz="4"/>
            </w:tcBorders>
            <w:shd w:fill="E8F5E9" w:color="auto" w:val="clear"/>
            <w:tcMar>
              <w:top w:type="dxa" w:w="100"/>
              <w:left w:type="dxa" w:w="180"/>
              <w:bottom w:type="dxa" w:w="100"/>
              <w:right w:type="dxa" w:w="180"/>
            </w:tcMar>
          </w:tcPr>
          <w:p>
            <w:pPr>
              <w:spacing w:after="60"/>
            </w:pPr>
            <w:r>
              <w:rPr>
                <w:b/>
                <w:bCs/>
                <w:color w:val="2E7D32"/>
                <w:sz w:val="20"/>
                <w:szCs w:val="20"/>
              </w:rPr>
              <w:t xml:space="preserve">Referencia normativa</w:t>
            </w:r>
          </w:p>
          <w:p>
            <w:pPr>
              <w:spacing w:after="50"/>
              <w:jc w:val="left"/>
            </w:pPr>
            <w:r>
              <w:rPr>
                <w:sz w:val="20"/>
                <w:szCs w:val="20"/>
              </w:rPr>
              <w:t xml:space="preserve">La debida diligencia del cliente y la identificación del beneficiario final son obligaciones de los sujetos obligados conforme a la legislación contra el lavado de activos vigente y a la normativa técnica aplicable (NRP-36, cuya adecuación a la ley de 2025 debe confirmarse). El alcance concreto (documentos, frecuencia de actualización, debida diligencia ampliada) lo define la política de cumplimiento de cada institución.</w:t>
            </w:r>
          </w:p>
        </w:tc>
      </w:tr>
    </w:tbl>
    <w:p>
      <w:pPr>
        <w:spacing w:after="120"/>
      </w:pPr>
    </w:p>
    <w:p>
      <w:pPr>
        <w:pStyle w:val="Heading2"/>
        <w:keepNext/>
      </w:pPr>
      <w:r>
        <w:t xml:space="preserve">2.5 Detección de inconsistencias, desactualización y posible fraude</w:t>
      </w:r>
    </w:p>
    <w:p>
      <w:pPr>
        <w:keepNext/>
        <w:spacing w:after="60" w:before="120"/>
      </w:pPr>
      <w:r>
        <w:rPr>
          <w:b/>
          <w:bCs/>
          <w:color w:val="1F3864"/>
          <w:sz w:val="19"/>
          <w:szCs w:val="19"/>
        </w:rPr>
        <w:t xml:space="preserve">Tabla 2.2. Señales de inconsistencia y posible fraude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9"/>
        <w:gridCol w:w="2620"/>
        <w:gridCol w:w="3371"/>
      </w:tblGrid>
      <w:tr>
        <w:trPr>
          <w:cantSplit/>
          <w:tblHeader/>
        </w:trPr>
        <w:tc>
          <w:tcPr>
            <w:tcW w:type="dxa" w:w="336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Señal</w:t>
            </w:r>
          </w:p>
        </w:tc>
        <w:tc>
          <w:tcPr>
            <w:tcW w:type="dxa" w:w="262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Qué puede indicar</w:t>
            </w:r>
          </w:p>
        </w:tc>
        <w:tc>
          <w:tcPr>
            <w:tcW w:type="dxa" w:w="3371"/>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Acción sugerida</w:t>
            </w:r>
          </w:p>
        </w:tc>
      </w:tr>
      <w:tr>
        <w:trPr>
          <w:cantSplit/>
        </w:trPr>
        <w:tc>
          <w:tcPr>
            <w:tcW w:type="dxa" w:w="336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Constancia de salario con formato distinto al habitual del empleador, sin sello o con datos de contacto que no coinciden</w:t>
            </w:r>
          </w:p>
        </w:tc>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Documento alterado o falso</w:t>
            </w:r>
          </w:p>
        </w:tc>
        <w:tc>
          <w:tcPr>
            <w:tcW w:type="dxa" w:w="337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Verificar por canal independiente; escalar a cumplimiento si se confirma.</w:t>
            </w:r>
          </w:p>
        </w:tc>
      </w:tr>
      <w:tr>
        <w:trPr>
          <w:cantSplit/>
        </w:trPr>
        <w:tc>
          <w:tcPr>
            <w:tcW w:type="dxa" w:w="336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Salario de la constancia mayor que los abonos en cuenta</w:t>
            </w:r>
          </w:p>
        </w:tc>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Ingreso sobredeclarado o descuentos no informados</w:t>
            </w:r>
          </w:p>
        </w:tc>
        <w:tc>
          <w:tcPr>
            <w:tcW w:type="dxa" w:w="337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Usar el valor verificado; solicitar boletas.</w:t>
            </w:r>
          </w:p>
        </w:tc>
      </w:tr>
      <w:tr>
        <w:trPr>
          <w:cantSplit/>
        </w:trPr>
        <w:tc>
          <w:tcPr>
            <w:tcW w:type="dxa" w:w="336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Depósitos grandes justo antes de la solicitud</w:t>
            </w:r>
          </w:p>
        </w:tc>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Inflado artificial de saldos</w:t>
            </w:r>
          </w:p>
        </w:tc>
        <w:tc>
          <w:tcPr>
            <w:tcW w:type="dxa" w:w="337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Analizar origen; excluir del promedio si no es recurrente.</w:t>
            </w:r>
          </w:p>
        </w:tc>
      </w:tr>
      <w:tr>
        <w:trPr>
          <w:cantSplit/>
        </w:trPr>
        <w:tc>
          <w:tcPr>
            <w:tcW w:type="dxa" w:w="336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Dirección, teléfono o correo compartidos con otros solicitantes no relacionados</w:t>
            </w:r>
          </w:p>
        </w:tc>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Posible red de fraude o suplantación</w:t>
            </w:r>
          </w:p>
        </w:tc>
        <w:tc>
          <w:tcPr>
            <w:tcW w:type="dxa" w:w="337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Revisión reforzada y validación presencial.</w:t>
            </w:r>
          </w:p>
        </w:tc>
      </w:tr>
      <w:tr>
        <w:trPr>
          <w:cantSplit/>
        </w:trPr>
        <w:tc>
          <w:tcPr>
            <w:tcW w:type="dxa" w:w="336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Firma distinta entre documentos</w:t>
            </w:r>
          </w:p>
        </w:tc>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Suplantación</w:t>
            </w:r>
          </w:p>
        </w:tc>
        <w:tc>
          <w:tcPr>
            <w:tcW w:type="dxa" w:w="337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Validar identidad presencialmente.</w:t>
            </w:r>
          </w:p>
        </w:tc>
      </w:tr>
      <w:tr>
        <w:trPr>
          <w:cantSplit/>
        </w:trPr>
        <w:tc>
          <w:tcPr>
            <w:tcW w:type="dxa" w:w="336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Documentos con fecha mayor a la aceptada por política</w:t>
            </w:r>
          </w:p>
        </w:tc>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Información desactualizada</w:t>
            </w:r>
          </w:p>
        </w:tc>
        <w:tc>
          <w:tcPr>
            <w:tcW w:type="dxa" w:w="337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Solicitar actualización antes de analizar.</w:t>
            </w:r>
          </w:p>
        </w:tc>
      </w:tr>
      <w:tr>
        <w:trPr>
          <w:cantSplit/>
        </w:trPr>
        <w:tc>
          <w:tcPr>
            <w:tcW w:type="dxa" w:w="336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Estados financieros sin firma, sin notas o con cifras redondas</w:t>
            </w:r>
          </w:p>
        </w:tc>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Información preparada para la solicitud</w:t>
            </w:r>
          </w:p>
        </w:tc>
        <w:tc>
          <w:tcPr>
            <w:tcW w:type="dxa" w:w="337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Contrastar con declaraciones tributarias y estados de cuenta.</w:t>
            </w:r>
          </w:p>
        </w:tc>
      </w:tr>
      <w:tr>
        <w:trPr>
          <w:cantSplit/>
        </w:trPr>
        <w:tc>
          <w:tcPr>
            <w:tcW w:type="dxa" w:w="336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Negativa a autorizar la consulta de historial o a permitir la visita</w:t>
            </w:r>
          </w:p>
        </w:tc>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Ocultamiento de información</w:t>
            </w:r>
          </w:p>
        </w:tc>
        <w:tc>
          <w:tcPr>
            <w:tcW w:type="dxa" w:w="337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No continuar sin la información necesaria.</w:t>
            </w:r>
          </w:p>
        </w:tc>
      </w:tr>
      <w:tr>
        <w:trPr>
          <w:cantSplit/>
        </w:trPr>
        <w:tc>
          <w:tcPr>
            <w:tcW w:type="dxa" w:w="336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Destino del crédito ambiguo o cambiante</w:t>
            </w:r>
          </w:p>
        </w:tc>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Uso distinto al declarado</w:t>
            </w:r>
          </w:p>
        </w:tc>
        <w:tc>
          <w:tcPr>
            <w:tcW w:type="dxa" w:w="337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Precisar destino y, si aplica, desembolso directo al proveedor.</w:t>
            </w:r>
          </w:p>
        </w:tc>
      </w:tr>
    </w:tbl>
    <w:p>
      <w:pPr>
        <w:spacing w:after="120"/>
      </w:pPr>
    </w:p>
    <w:p>
      <w:pPr>
        <w:pStyle w:val="Heading2"/>
        <w:keepNext/>
      </w:pPr>
      <w:r>
        <w:t xml:space="preserve">2.6 Lista de verificación documental</w:t>
      </w:r>
    </w:p>
    <w:p>
      <w:pPr>
        <w:keepNext w:val="false"/>
        <w:spacing w:after="120" w:before="0"/>
        <w:jc w:val="both"/>
      </w:pPr>
      <w:r>
        <w:t xml:space="preserve">El </w:t>
      </w:r>
      <w:r>
        <w:rPr>
          <w:b/>
          <w:bCs/>
        </w:rPr>
        <w:t xml:space="preserve">Anexo A</w:t>
      </w:r>
      <w:r>
        <w:t xml:space="preserve"> contiene una lista de verificación editable. En la recepción se recomienda registrar, para cada documento: si se recibió, si es original o copia, fecha del documento, si fue verificado, cómo y por quién.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2E75B6" w:sz="4"/>
              <w:left w:val="single" w:color="2E75B6" w:sz="24"/>
              <w:bottom w:val="single" w:color="2E75B6" w:sz="4"/>
              <w:right w:val="single" w:color="2E75B6" w:sz="4"/>
            </w:tcBorders>
            <w:shd w:fill="F2F7FC" w:color="auto" w:val="clear"/>
            <w:tcMar>
              <w:top w:type="dxa" w:w="100"/>
              <w:left w:type="dxa" w:w="180"/>
              <w:bottom w:type="dxa" w:w="100"/>
              <w:right w:type="dxa" w:w="180"/>
            </w:tcMar>
          </w:tcPr>
          <w:p>
            <w:pPr>
              <w:spacing w:after="60"/>
            </w:pPr>
            <w:r>
              <w:rPr>
                <w:b/>
                <w:bCs/>
                <w:color w:val="2E75B6"/>
                <w:sz w:val="20"/>
                <w:szCs w:val="20"/>
              </w:rPr>
              <w:t xml:space="preserve">Buena práctica recomendada (no constituye obligación legal)</w:t>
            </w:r>
          </w:p>
          <w:p>
            <w:pPr>
              <w:spacing w:after="50"/>
              <w:jc w:val="left"/>
            </w:pPr>
            <w:r>
              <w:rPr>
                <w:sz w:val="20"/>
                <w:szCs w:val="20"/>
              </w:rPr>
              <w:t xml:space="preserve">Registrar una </w:t>
            </w:r>
            <w:r>
              <w:rPr>
                <w:b/>
                <w:bCs/>
                <w:sz w:val="20"/>
                <w:szCs w:val="20"/>
              </w:rPr>
              <w:t xml:space="preserve">fecha de corte</w:t>
            </w:r>
            <w:r>
              <w:rPr>
                <w:sz w:val="20"/>
                <w:szCs w:val="20"/>
              </w:rPr>
              <w:t xml:space="preserve"> de la información y no mezclar en un mismo cálculo datos de períodos distintos sin explicarlo.</w:t>
            </w:r>
          </w:p>
          <w:p>
            <w:pPr>
              <w:spacing w:after="50"/>
              <w:jc w:val="left"/>
            </w:pPr>
            <w:r>
              <w:rPr>
                <w:sz w:val="20"/>
                <w:szCs w:val="20"/>
              </w:rPr>
              <w:t xml:space="preserve">Usar una </w:t>
            </w:r>
            <w:r>
              <w:rPr>
                <w:b/>
                <w:bCs/>
                <w:sz w:val="20"/>
                <w:szCs w:val="20"/>
              </w:rPr>
              <w:t xml:space="preserve">lista única por producto</w:t>
            </w:r>
            <w:r>
              <w:rPr>
                <w:sz w:val="20"/>
                <w:szCs w:val="20"/>
              </w:rPr>
              <w:t xml:space="preserve"> para que todos los analistas exijan lo mismo a solicitantes comparables.</w:t>
            </w:r>
          </w:p>
        </w:tc>
      </w:tr>
    </w:tbl>
    <w:p>
      <w:pPr>
        <w:spacing w:after="120"/>
      </w:pPr>
    </w:p>
    <w:p>
      <w:pPr>
        <w:pStyle w:val="Heading1"/>
        <w:pageBreakBefore/>
      </w:pPr>
      <w:r>
        <w:t xml:space="preserve">Capítulo 3. Recopilación y análisis de información financiera</w:t>
      </w:r>
    </w:p>
    <w:p>
      <w:pPr>
        <w:keepNext w:val="false"/>
        <w:spacing w:after="120" w:before="0"/>
        <w:jc w:val="both"/>
      </w:pPr>
      <w:r>
        <w:rPr>
          <w:i/>
          <w:iCs/>
        </w:rPr>
        <w:t xml:space="preserve">Desarrolla el apartado original 2: «Recopilación y análisis de información financiera».</w:t>
      </w:r>
    </w:p>
    <w:p>
      <w:pPr>
        <w:pStyle w:val="Heading2"/>
        <w:keepNext/>
      </w:pPr>
      <w:r>
        <w:t xml:space="preserve">3.1 Para qué se analiza la información financiera</w:t>
      </w:r>
    </w:p>
    <w:p>
      <w:pPr>
        <w:keepNext w:val="false"/>
        <w:spacing w:after="120" w:before="0"/>
        <w:jc w:val="both"/>
      </w:pPr>
      <w:r>
        <w:t xml:space="preserve">La información financiera permite pasar de lo que el solicitante </w:t>
      </w:r>
      <w:r>
        <w:rPr>
          <w:b/>
          <w:bCs/>
        </w:rPr>
        <w:t xml:space="preserve">dice</w:t>
      </w:r>
      <w:r>
        <w:t xml:space="preserve"> a lo que la evidencia </w:t>
      </w:r>
      <w:r>
        <w:rPr>
          <w:b/>
          <w:bCs/>
        </w:rPr>
        <w:t xml:space="preserve">muestra</w:t>
      </w:r>
      <w:r>
        <w:t xml:space="preserve">. El objetivo es construir una visión coherente de ingresos, gastos, deudas y patrimonio, y detectar diferencias que deban explicarse.</w:t>
      </w:r>
    </w:p>
    <w:p>
      <w:pPr>
        <w:pStyle w:val="Heading2"/>
        <w:keepNext/>
      </w:pPr>
      <w:r>
        <w:t xml:space="preserve">3.2 Documentos financieros y cómo interpretarlos</w:t>
      </w:r>
    </w:p>
    <w:p>
      <w:pPr>
        <w:keepNext/>
        <w:spacing w:after="60" w:before="120"/>
      </w:pPr>
      <w:r>
        <w:rPr>
          <w:b/>
          <w:bCs/>
          <w:color w:val="1F3864"/>
          <w:sz w:val="19"/>
          <w:szCs w:val="19"/>
        </w:rPr>
        <w:t xml:space="preserve">Tabla 3.1. Documentos financieros: contenido, interpretación y errores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1"/>
        <w:gridCol w:w="2152"/>
        <w:gridCol w:w="2995"/>
        <w:gridCol w:w="2622"/>
      </w:tblGrid>
      <w:tr>
        <w:trPr>
          <w:cantSplit/>
          <w:tblHeader/>
        </w:trPr>
        <w:tc>
          <w:tcPr>
            <w:tcW w:type="dxa" w:w="1591"/>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Documento</w:t>
            </w:r>
          </w:p>
        </w:tc>
        <w:tc>
          <w:tcPr>
            <w:tcW w:type="dxa" w:w="215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Qué muestra</w:t>
            </w:r>
          </w:p>
        </w:tc>
        <w:tc>
          <w:tcPr>
            <w:tcW w:type="dxa" w:w="2995"/>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Cómo interpretarlo</w:t>
            </w:r>
          </w:p>
        </w:tc>
        <w:tc>
          <w:tcPr>
            <w:tcW w:type="dxa" w:w="262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Errores frecuentes</w:t>
            </w:r>
          </w:p>
        </w:tc>
      </w:tr>
      <w:tr>
        <w:trPr>
          <w:cantSplit/>
        </w:trPr>
        <w:tc>
          <w:tcPr>
            <w:tcW w:type="dxa" w:w="159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Estado de resultados</w:t>
            </w:r>
          </w:p>
        </w:tc>
        <w:tc>
          <w:tcPr>
            <w:tcW w:type="dxa" w:w="21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Ingresos, costos y gastos de un período; la utilidad o pérdida.</w:t>
            </w:r>
          </w:p>
        </w:tc>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Revisar margen bruto, gastos operativos y utilidad neta; comparar con períodos anteriores.</w:t>
            </w:r>
          </w:p>
        </w:tc>
        <w:tc>
          <w:tcPr>
            <w:tcW w:type="dxa" w:w="262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Confundir utilidad con efectivo disponible; no restar el retiro del propietario.</w:t>
            </w:r>
          </w:p>
        </w:tc>
      </w:tr>
      <w:tr>
        <w:trPr>
          <w:cantSplit/>
        </w:trPr>
        <w:tc>
          <w:tcPr>
            <w:tcW w:type="dxa" w:w="159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Balance general</w:t>
            </w:r>
          </w:p>
        </w:tc>
        <w:tc>
          <w:tcPr>
            <w:tcW w:type="dxa" w:w="21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Activos, pasivos y patrimonio a una fecha.</w:t>
            </w:r>
          </w:p>
        </w:tc>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Evaluar liquidez (activos corrientes vs. pasivos corrientes), endeudamiento y respaldo patrimonial.</w:t>
            </w:r>
          </w:p>
        </w:tc>
        <w:tc>
          <w:tcPr>
            <w:tcW w:type="dxa" w:w="262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Aceptar inventarios o cuentas por cobrar sobrevaluados.</w:t>
            </w:r>
          </w:p>
        </w:tc>
      </w:tr>
      <w:tr>
        <w:trPr>
          <w:cantSplit/>
        </w:trPr>
        <w:tc>
          <w:tcPr>
            <w:tcW w:type="dxa" w:w="159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Estado de flujos de efectivo</w:t>
            </w:r>
          </w:p>
        </w:tc>
        <w:tc>
          <w:tcPr>
            <w:tcW w:type="dxa" w:w="21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Entradas y salidas reales de dinero (operación, inversión, financiamiento).</w:t>
            </w:r>
          </w:p>
        </w:tc>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Verificar si la operación genera efectivo suficiente para pagar deudas.</w:t>
            </w:r>
          </w:p>
        </w:tc>
        <w:tc>
          <w:tcPr>
            <w:tcW w:type="dxa" w:w="262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Ignorar que una empresa rentable puede quedarse sin efectivo.</w:t>
            </w:r>
          </w:p>
        </w:tc>
      </w:tr>
      <w:tr>
        <w:trPr>
          <w:cantSplit/>
        </w:trPr>
        <w:tc>
          <w:tcPr>
            <w:tcW w:type="dxa" w:w="159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Declaraciones tributarias</w:t>
            </w:r>
          </w:p>
        </w:tc>
        <w:tc>
          <w:tcPr>
            <w:tcW w:type="dxa" w:w="21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Ingresos y bases declaradas a la administración tributaria.</w:t>
            </w:r>
          </w:p>
        </w:tc>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Contrastar con ventas informadas; diferencias grandes requieren explicación.</w:t>
            </w:r>
          </w:p>
        </w:tc>
        <w:tc>
          <w:tcPr>
            <w:tcW w:type="dxa" w:w="262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Usar solo lo declarado verbalmente cuando la declaración muestra menos.</w:t>
            </w:r>
          </w:p>
        </w:tc>
      </w:tr>
      <w:tr>
        <w:trPr>
          <w:cantSplit/>
        </w:trPr>
        <w:tc>
          <w:tcPr>
            <w:tcW w:type="dxa" w:w="159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Comprobantes de ingresos</w:t>
            </w:r>
          </w:p>
        </w:tc>
        <w:tc>
          <w:tcPr>
            <w:tcW w:type="dxa" w:w="21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Salario, honorarios, pensiones, alquileres.</w:t>
            </w:r>
          </w:p>
        </w:tc>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Comprobar recurrencia, monto neto y descuentos.</w:t>
            </w:r>
          </w:p>
        </w:tc>
        <w:tc>
          <w:tcPr>
            <w:tcW w:type="dxa" w:w="262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Tomar ingresos brutos como disponibles.</w:t>
            </w:r>
          </w:p>
        </w:tc>
      </w:tr>
      <w:tr>
        <w:trPr>
          <w:cantSplit/>
        </w:trPr>
        <w:tc>
          <w:tcPr>
            <w:tcW w:type="dxa" w:w="159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Estados de cuenta</w:t>
            </w:r>
          </w:p>
        </w:tc>
        <w:tc>
          <w:tcPr>
            <w:tcW w:type="dxa" w:w="21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Movimientos bancarios: depósitos, retiros, pagos.</w:t>
            </w:r>
          </w:p>
        </w:tc>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Calcular depósitos recurrentes; identificar pagos de otras deudas no declaradas.</w:t>
            </w:r>
          </w:p>
        </w:tc>
        <w:tc>
          <w:tcPr>
            <w:tcW w:type="dxa" w:w="262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Contar transferencias entre cuentas propias como ingresos.</w:t>
            </w:r>
          </w:p>
        </w:tc>
      </w:tr>
      <w:tr>
        <w:trPr>
          <w:cantSplit/>
        </w:trPr>
        <w:tc>
          <w:tcPr>
            <w:tcW w:type="dxa" w:w="159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Gastos familiares y personales</w:t>
            </w:r>
          </w:p>
        </w:tc>
        <w:tc>
          <w:tcPr>
            <w:tcW w:type="dxa" w:w="21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Alimentación, vivienda, servicios, transporte, educación, salud.</w:t>
            </w:r>
          </w:p>
        </w:tc>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Contrastar lo declarado con referencias razonables y con el tamaño del hogar.</w:t>
            </w:r>
          </w:p>
        </w:tc>
        <w:tc>
          <w:tcPr>
            <w:tcW w:type="dxa" w:w="262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Aceptar gastos irrealmente bajos.</w:t>
            </w:r>
          </w:p>
        </w:tc>
      </w:tr>
      <w:tr>
        <w:trPr>
          <w:cantSplit/>
        </w:trPr>
        <w:tc>
          <w:tcPr>
            <w:tcW w:type="dxa" w:w="159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Gastos operativos</w:t>
            </w:r>
          </w:p>
        </w:tc>
        <w:tc>
          <w:tcPr>
            <w:tcW w:type="dxa" w:w="21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Costos de mantener el negocio: alquiler, salarios, servicios, insumos.</w:t>
            </w:r>
          </w:p>
        </w:tc>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Separarlos de los gastos del hogar.</w:t>
            </w:r>
          </w:p>
        </w:tc>
        <w:tc>
          <w:tcPr>
            <w:tcW w:type="dxa" w:w="262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Mezclar finanzas del negocio y de la familia sin ordenarlas.</w:t>
            </w:r>
          </w:p>
        </w:tc>
      </w:tr>
      <w:tr>
        <w:trPr>
          <w:cantSplit/>
        </w:trPr>
        <w:tc>
          <w:tcPr>
            <w:tcW w:type="dxa" w:w="159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Detalle de activos, pasivos y patrimonio</w:t>
            </w:r>
          </w:p>
        </w:tc>
        <w:tc>
          <w:tcPr>
            <w:tcW w:type="dxa" w:w="21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Bienes y deudas de la persona.</w:t>
            </w:r>
          </w:p>
        </w:tc>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Evaluar respaldo y nivel de apalancamiento.</w:t>
            </w:r>
          </w:p>
        </w:tc>
        <w:tc>
          <w:tcPr>
            <w:tcW w:type="dxa" w:w="262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Valorar activos al precio que estima el cliente sin evidencia.</w:t>
            </w:r>
          </w:p>
        </w:tc>
      </w:tr>
      <w:tr>
        <w:trPr>
          <w:cantSplit/>
        </w:trPr>
        <w:tc>
          <w:tcPr>
            <w:tcW w:type="dxa" w:w="159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Obligaciones financieras vigentes</w:t>
            </w:r>
          </w:p>
        </w:tc>
        <w:tc>
          <w:tcPr>
            <w:tcW w:type="dxa" w:w="21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Préstamos, tarjetas, fianzas otorgadas.</w:t>
            </w:r>
          </w:p>
        </w:tc>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Cruzar con el reporte de historial crediticio.</w:t>
            </w:r>
          </w:p>
        </w:tc>
        <w:tc>
          <w:tcPr>
            <w:tcW w:type="dxa" w:w="262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Omitir tarjetas con saldo o fianzas a terceros.</w:t>
            </w:r>
          </w:p>
        </w:tc>
      </w:tr>
    </w:tbl>
    <w:p>
      <w:pPr>
        <w:spacing w:after="120"/>
      </w:pPr>
    </w:p>
    <w:p>
      <w:pPr>
        <w:pStyle w:val="Heading2"/>
        <w:keepNext/>
      </w:pPr>
      <w:r>
        <w:t xml:space="preserve">3.3 Verificación de coherencia: el triángulo de la evidencia</w:t>
      </w:r>
    </w:p>
    <w:p>
      <w:pPr>
        <w:keepNext w:val="false"/>
        <w:spacing w:after="120" w:before="0"/>
        <w:jc w:val="both"/>
      </w:pPr>
      <w:r>
        <w:t xml:space="preserve">Una cifra es más confiable cuando coincide en al menos tres fuentes: </w:t>
      </w:r>
      <w:r>
        <w:rPr>
          <w:b/>
          <w:bCs/>
        </w:rPr>
        <w:t xml:space="preserve">lo declarado</w:t>
      </w:r>
      <w:r>
        <w:t xml:space="preserve"> por el cliente, </w:t>
      </w:r>
      <w:r>
        <w:rPr>
          <w:b/>
          <w:bCs/>
        </w:rPr>
        <w:t xml:space="preserve">lo documentado</w:t>
      </w:r>
      <w:r>
        <w:t xml:space="preserve"> (constancias, declaraciones, estados financieros) y </w:t>
      </w:r>
      <w:r>
        <w:rPr>
          <w:b/>
          <w:bCs/>
        </w:rPr>
        <w:t xml:space="preserve">lo observado</w:t>
      </w:r>
      <w:r>
        <w:t xml:space="preserve"> (estados de cuenta, visita, historial crediticio). Si las fuentes difieren, se usa la cifra más conservadora que esté respaldada, o se solicita una explicación documentada.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2E75B6" w:sz="4"/>
              <w:left w:val="single" w:color="2E75B6" w:sz="24"/>
              <w:bottom w:val="single" w:color="2E75B6" w:sz="4"/>
              <w:right w:val="single" w:color="2E75B6" w:sz="4"/>
            </w:tcBorders>
            <w:shd w:fill="F2F7FC" w:color="auto" w:val="clear"/>
            <w:tcMar>
              <w:top w:type="dxa" w:w="100"/>
              <w:left w:type="dxa" w:w="180"/>
              <w:bottom w:type="dxa" w:w="100"/>
              <w:right w:type="dxa" w:w="180"/>
            </w:tcMar>
          </w:tcPr>
          <w:p>
            <w:pPr>
              <w:spacing w:after="60"/>
            </w:pPr>
            <w:r>
              <w:rPr>
                <w:b/>
                <w:bCs/>
                <w:color w:val="2E75B6"/>
                <w:sz w:val="20"/>
                <w:szCs w:val="20"/>
              </w:rPr>
              <w:t xml:space="preserve">Ejemplo (datos ficticios) — conciliación de ventas de un negocio</w:t>
            </w:r>
          </w:p>
          <w:p>
            <w:pPr>
              <w:spacing w:after="50"/>
              <w:jc w:val="left"/>
            </w:pPr>
            <w:r>
              <w:rPr>
                <w:sz w:val="20"/>
                <w:szCs w:val="20"/>
              </w:rPr>
              <w:t xml:space="preserve">Ventas declaradas en la solicitud: </w:t>
            </w:r>
            <w:r>
              <w:rPr>
                <w:b/>
                <w:bCs/>
                <w:sz w:val="20"/>
                <w:szCs w:val="20"/>
              </w:rPr>
              <w:t xml:space="preserve">US$9,000</w:t>
            </w:r>
            <w:r>
              <w:rPr>
                <w:sz w:val="20"/>
                <w:szCs w:val="20"/>
              </w:rPr>
              <w:t xml:space="preserve"> mensuales.</w:t>
            </w:r>
          </w:p>
          <w:p>
            <w:pPr>
              <w:spacing w:after="50"/>
              <w:jc w:val="left"/>
            </w:pPr>
            <w:r>
              <w:rPr>
                <w:sz w:val="20"/>
                <w:szCs w:val="20"/>
              </w:rPr>
              <w:t xml:space="preserve">Ventas según declaraciones de IVA (promedio de 6 meses): </w:t>
            </w:r>
            <w:r>
              <w:rPr>
                <w:b/>
                <w:bCs/>
                <w:sz w:val="20"/>
                <w:szCs w:val="20"/>
              </w:rPr>
              <w:t xml:space="preserve">US$6,800</w:t>
            </w:r>
            <w:r>
              <w:rPr>
                <w:sz w:val="20"/>
                <w:szCs w:val="20"/>
              </w:rPr>
              <w:t xml:space="preserve"> mensuales.</w:t>
            </w:r>
          </w:p>
          <w:p>
            <w:pPr>
              <w:spacing w:after="50"/>
              <w:jc w:val="left"/>
            </w:pPr>
            <w:r>
              <w:rPr>
                <w:sz w:val="20"/>
                <w:szCs w:val="20"/>
              </w:rPr>
              <w:t xml:space="preserve">Depósitos del negocio en estados de cuenta (promedio de 6 meses, excluidas transferencias entre cuentas propias): </w:t>
            </w:r>
            <w:r>
              <w:rPr>
                <w:b/>
                <w:bCs/>
                <w:sz w:val="20"/>
                <w:szCs w:val="20"/>
              </w:rPr>
              <w:t xml:space="preserve">US$6,500</w:t>
            </w:r>
            <w:r>
              <w:rPr>
                <w:sz w:val="20"/>
                <w:szCs w:val="20"/>
              </w:rPr>
              <w:t xml:space="preserve"> mensuales.</w:t>
            </w:r>
          </w:p>
          <w:p>
            <w:pPr>
              <w:spacing w:after="50"/>
              <w:jc w:val="left"/>
            </w:pPr>
            <w:r>
              <w:rPr>
                <w:sz w:val="20"/>
                <w:szCs w:val="20"/>
              </w:rPr>
              <w:t xml:space="preserve">Parte de las ventas se cobra en efectivo y no se deposita: el cliente lo afirma, pero no lo documenta.</w:t>
            </w:r>
          </w:p>
          <w:p>
            <w:pPr>
              <w:spacing w:after="50"/>
              <w:jc w:val="left"/>
            </w:pPr>
            <w:r>
              <w:rPr>
                <w:b/>
                <w:bCs/>
                <w:sz w:val="20"/>
                <w:szCs w:val="20"/>
              </w:rPr>
              <w:t xml:space="preserve">Cifra para el análisis:</w:t>
            </w:r>
            <w:r>
              <w:rPr>
                <w:sz w:val="20"/>
                <w:szCs w:val="20"/>
              </w:rPr>
              <w:t xml:space="preserve"> US$6,800 (respaldada por declaración tributaria y razonablemente consistente con depósitos: diferencia de 4.6 %). Los US$2,200 restantes no se consideran por falta de evidencia.</w:t>
            </w:r>
          </w:p>
          <w:p>
            <w:pPr>
              <w:spacing w:after="50"/>
              <w:jc w:val="left"/>
            </w:pPr>
            <w:r>
              <w:rPr>
                <w:sz w:val="20"/>
                <w:szCs w:val="20"/>
              </w:rPr>
              <w:t xml:space="preserve">Cálculo de la diferencia: (6,800 − 6,500) ÷ 6,500 × 100 = 300 ÷ 6,500 × 100 = </w:t>
            </w:r>
            <w:r>
              <w:rPr>
                <w:b/>
                <w:bCs/>
                <w:sz w:val="20"/>
                <w:szCs w:val="20"/>
              </w:rPr>
              <w:t xml:space="preserve">4.6 %</w:t>
            </w:r>
            <w:r>
              <w:rPr>
                <w:sz w:val="20"/>
                <w:szCs w:val="20"/>
              </w:rPr>
              <w:t xml:space="preserve">.</w:t>
            </w:r>
          </w:p>
        </w:tc>
      </w:tr>
    </w:tbl>
    <w:p>
      <w:pPr>
        <w:spacing w:after="120"/>
      </w:pPr>
    </w:p>
    <w:p>
      <w:pPr>
        <w:pStyle w:val="Heading2"/>
        <w:keepNext/>
      </w:pPr>
      <w:r>
        <w:t xml:space="preserve">3.4 Indicadores financieros básicos para personas y negocios</w:t>
      </w:r>
    </w:p>
    <w:p>
      <w:pPr>
        <w:keepNext/>
        <w:spacing w:after="60" w:before="120"/>
      </w:pPr>
      <w:r>
        <w:rPr>
          <w:b/>
          <w:bCs/>
          <w:color w:val="1F3864"/>
          <w:sz w:val="19"/>
          <w:szCs w:val="19"/>
        </w:rPr>
        <w:t xml:space="preserve">Ficha 3.1. Razón de liquidez corriente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3"/>
        <w:gridCol w:w="6927"/>
      </w:tblGrid>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Definición</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Mide cuántos dólares de activos de corto plazo (efectivo, cuentas por cobrar, inventarios) tiene un negocio por cada dólar de deudas de corto plazo.</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9"/>
                <w:szCs w:val="19"/>
              </w:rPr>
              <w:t xml:space="preserve">Para qué sirve</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9"/>
                <w:szCs w:val="19"/>
              </w:rPr>
              <w:t xml:space="preserve">Indica si el negocio puede cubrir sus compromisos inmediatos.</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Cómo se aplica</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Se toma del balance general a la fecha de corte más reciente.</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9"/>
                <w:szCs w:val="19"/>
              </w:rPr>
              <w:t xml:space="preserve">Fórmula</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9"/>
                <w:szCs w:val="19"/>
              </w:rPr>
              <w:t xml:space="preserve">Liquidez corriente = Activo corriente ÷ Pasivo corriente</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Ejemplo</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Activo corriente US$48,000; pasivo corriente US$32,000 → 48,000 ÷ 32,000 = </w:t>
            </w:r>
            <w:r>
              <w:rPr>
                <w:b/>
                <w:bCs/>
                <w:sz w:val="19"/>
                <w:szCs w:val="19"/>
              </w:rPr>
              <w:t xml:space="preserve">1.50 veces</w:t>
            </w:r>
            <w:r>
              <w:rPr>
                <w:b w:val="false"/>
                <w:bCs w:val="false"/>
                <w:sz w:val="19"/>
                <w:szCs w:val="19"/>
              </w:rPr>
              <w:t xml:space="preserve">.</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9"/>
                <w:szCs w:val="19"/>
              </w:rPr>
              <w:t xml:space="preserve">Interpretación</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9"/>
                <w:szCs w:val="19"/>
              </w:rPr>
              <w:t xml:space="preserve">Por cada US$1.00 de deuda de corto plazo hay US$1.50 de activos corrientes. Un valor menor que 1 sugiere tensión de liquidez.</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Limitaciones / errores a evitar</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Un inventario obsoleto o cuentas por cobrar incobrables inflan el indicador. Conviene calcular también la prueba ácida (sin inventarios).</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b/>
                <w:bCs/>
                <w:sz w:val="19"/>
                <w:szCs w:val="19"/>
              </w:rPr>
              <w:t xml:space="preserve">Influencia en la decisión</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b w:val="false"/>
                <w:bCs w:val="false"/>
                <w:sz w:val="19"/>
                <w:szCs w:val="19"/>
              </w:rPr>
              <w:t xml:space="preserve">Una liquidez débil puede llevar a ajustar el plazo, exigir condiciones o reducir el monto.</w:t>
            </w:r>
          </w:p>
        </w:tc>
      </w:tr>
    </w:tbl>
    <w:p>
      <w:pPr>
        <w:spacing w:after="120"/>
      </w:pPr>
    </w:p>
    <w:p>
      <w:pPr>
        <w:keepNext/>
        <w:spacing w:after="60" w:before="120"/>
      </w:pPr>
      <w:r>
        <w:rPr>
          <w:b/>
          <w:bCs/>
          <w:color w:val="1F3864"/>
          <w:sz w:val="19"/>
          <w:szCs w:val="19"/>
        </w:rPr>
        <w:t xml:space="preserve">Ficha 3.2. Nivel de endeudamiento patrimonial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3"/>
        <w:gridCol w:w="6927"/>
      </w:tblGrid>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Definición</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Relación entre lo que se debe y el patrimonio propio.</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9"/>
                <w:szCs w:val="19"/>
              </w:rPr>
              <w:t xml:space="preserve">Para qué sirve</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9"/>
                <w:szCs w:val="19"/>
              </w:rPr>
              <w:t xml:space="preserve">Muestra cuánto depende la persona o empresa de recursos de terceros.</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Cómo se aplica</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Con el balance general o el detalle patrimonial de una persona natural.</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9"/>
                <w:szCs w:val="19"/>
              </w:rPr>
              <w:t xml:space="preserve">Fórmula</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9"/>
                <w:szCs w:val="19"/>
              </w:rPr>
              <w:t xml:space="preserve">Endeudamiento = Pasivo total ÷ Patrimonio</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Ejemplo</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Pasivo total US$60,000; patrimonio US$40,000 → 60,000 ÷ 40,000 = </w:t>
            </w:r>
            <w:r>
              <w:rPr>
                <w:b/>
                <w:bCs/>
                <w:sz w:val="19"/>
                <w:szCs w:val="19"/>
              </w:rPr>
              <w:t xml:space="preserve">1.50 veces</w:t>
            </w:r>
            <w:r>
              <w:rPr>
                <w:b w:val="false"/>
                <w:bCs w:val="false"/>
                <w:sz w:val="19"/>
                <w:szCs w:val="19"/>
              </w:rPr>
              <w:t xml:space="preserve">.</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9"/>
                <w:szCs w:val="19"/>
              </w:rPr>
              <w:t xml:space="preserve">Interpretación</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9"/>
                <w:szCs w:val="19"/>
              </w:rPr>
              <w:t xml:space="preserve">Se deben US$1.50 por cada US$1.00 de recursos propios. Cuanto mayor, menor colchón ante pérdidas.</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Limitaciones / errores a evitar</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Usar valores de activos estimados por el cliente sin respaldo; omitir deudas informales.</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b/>
                <w:bCs/>
                <w:sz w:val="19"/>
                <w:szCs w:val="19"/>
              </w:rPr>
              <w:t xml:space="preserve">Influencia en la decisión</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b w:val="false"/>
                <w:bCs w:val="false"/>
                <w:sz w:val="19"/>
                <w:szCs w:val="19"/>
              </w:rPr>
              <w:t xml:space="preserve">Un endeudamiento elevado puede requerir mayor capital propio en el proyecto o garantías adicionales.</w:t>
            </w:r>
          </w:p>
        </w:tc>
      </w:tr>
    </w:tbl>
    <w:p>
      <w:pPr>
        <w:spacing w:after="120"/>
      </w:pPr>
    </w:p>
    <w:p>
      <w:pPr>
        <w:keepNext/>
        <w:spacing w:after="60" w:before="120"/>
      </w:pPr>
      <w:r>
        <w:rPr>
          <w:b/>
          <w:bCs/>
          <w:color w:val="1F3864"/>
          <w:sz w:val="19"/>
          <w:szCs w:val="19"/>
        </w:rPr>
        <w:t xml:space="preserve">Ficha 3.3. Margen neto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3"/>
        <w:gridCol w:w="6927"/>
      </w:tblGrid>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Definición</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Porcentaje de las ventas que se convierte en utilidad después de todos los costos y gastos.</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9"/>
                <w:szCs w:val="19"/>
              </w:rPr>
              <w:t xml:space="preserve">Para qué sirve</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9"/>
                <w:szCs w:val="19"/>
              </w:rPr>
              <w:t xml:space="preserve">Mide la rentabilidad del negocio.</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Cómo se aplica</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Con el estado de resultados de al menos un período completo.</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9"/>
                <w:szCs w:val="19"/>
              </w:rPr>
              <w:t xml:space="preserve">Fórmula</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9"/>
                <w:szCs w:val="19"/>
              </w:rPr>
              <w:t xml:space="preserve">Margen neto = Utilidad neta ÷ Ventas × 100</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Ejemplo</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Utilidad neta US$1,875; ventas US$25,000 → 1,875 ÷ 25,000 × 100 = </w:t>
            </w:r>
            <w:r>
              <w:rPr>
                <w:b/>
                <w:bCs/>
                <w:sz w:val="19"/>
                <w:szCs w:val="19"/>
              </w:rPr>
              <w:t xml:space="preserve">7.5 %</w:t>
            </w:r>
            <w:r>
              <w:rPr>
                <w:b w:val="false"/>
                <w:bCs w:val="false"/>
                <w:sz w:val="19"/>
                <w:szCs w:val="19"/>
              </w:rPr>
              <w:t xml:space="preserve">.</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9"/>
                <w:szCs w:val="19"/>
              </w:rPr>
              <w:t xml:space="preserve">Interpretación</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9"/>
                <w:szCs w:val="19"/>
              </w:rPr>
              <w:t xml:space="preserve">De cada US$100 vendidos quedan US$7.50 de utilidad.</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Limitaciones / errores a evitar</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Comparar márgenes de actividades muy distintas; olvidar que utilidad no es efectivo.</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b/>
                <w:bCs/>
                <w:sz w:val="19"/>
                <w:szCs w:val="19"/>
              </w:rPr>
              <w:t xml:space="preserve">Influencia en la decisión</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b w:val="false"/>
                <w:bCs w:val="false"/>
                <w:sz w:val="19"/>
                <w:szCs w:val="19"/>
              </w:rPr>
              <w:t xml:space="preserve">Márgenes bajos dejan poco espacio ante caídas en ventas; refuerzan la necesidad de escenarios adversos.</w:t>
            </w:r>
          </w:p>
        </w:tc>
      </w:tr>
    </w:tbl>
    <w:p>
      <w:pPr>
        <w:spacing w:after="120"/>
      </w:pPr>
    </w:p>
    <w:p>
      <w:pPr>
        <w:pStyle w:val="Heading2"/>
        <w:keepNext/>
      </w:pPr>
      <w:r>
        <w:t xml:space="preserve">3.5 Gastos del hogar: cómo estimarlos con prudencia</w:t>
      </w:r>
    </w:p>
    <w:p>
      <w:pPr>
        <w:keepNext w:val="false"/>
        <w:spacing w:after="120" w:before="0"/>
        <w:jc w:val="both"/>
      </w:pPr>
      <w:r>
        <w:t xml:space="preserve">Los gastos esenciales son los que una familia no puede dejar de pagar sin afectar su subsistencia: alimentación, vivienda (alquiler o mantenimiento), servicios básicos (agua, energía, telefonía e internet), transporte, salud y educación. Se recomienda:</w:t>
      </w:r>
    </w:p>
    <w:p>
      <w:pPr>
        <w:pStyle w:val="ListParagraph"/>
        <w:numPr>
          <w:ilvl w:val="0"/>
          <w:numId w:val="10"/>
        </w:numPr>
        <w:spacing w:after="60"/>
        <w:jc w:val="left"/>
      </w:pPr>
      <w:r>
        <w:t xml:space="preserve">Pedir al solicitante un detalle por rubro y contrastarlo con lo observado en estados de cuenta.</w:t>
      </w:r>
    </w:p>
    <w:p>
      <w:pPr>
        <w:pStyle w:val="ListParagraph"/>
        <w:numPr>
          <w:ilvl w:val="0"/>
          <w:numId w:val="10"/>
        </w:numPr>
        <w:spacing w:after="60"/>
        <w:jc w:val="left"/>
      </w:pPr>
      <w:r>
        <w:t xml:space="preserve">Considerar el tamaño del hogar y las personas dependientes.</w:t>
      </w:r>
    </w:p>
    <w:p>
      <w:pPr>
        <w:pStyle w:val="ListParagraph"/>
        <w:numPr>
          <w:ilvl w:val="0"/>
          <w:numId w:val="10"/>
        </w:numPr>
        <w:spacing w:after="60"/>
        <w:jc w:val="left"/>
      </w:pPr>
      <w:r>
        <w:t xml:space="preserve">Aplicar un </w:t>
      </w:r>
      <w:r>
        <w:rPr>
          <w:b/>
          <w:bCs/>
        </w:rPr>
        <w:t xml:space="preserve">gasto mínimo de referencia</w:t>
      </w:r>
      <w:r>
        <w:t xml:space="preserve"> definido por la institución (por ejemplo, a partir de estadísticas oficiales de costo de vida o de su propia base histórica) cuando lo declarado sea inferior. Este mínimo es un parámetro institucional, no legal.</w:t>
      </w:r>
    </w:p>
    <w:p>
      <w:pPr>
        <w:pStyle w:val="ListParagraph"/>
        <w:numPr>
          <w:ilvl w:val="0"/>
          <w:numId w:val="10"/>
        </w:numPr>
        <w:spacing w:after="60"/>
        <w:jc w:val="left"/>
      </w:pPr>
      <w:r>
        <w:t xml:space="preserve">No incluir en los gastos esenciales las cuotas de préstamos: estas se tratan por separado como </w:t>
      </w:r>
      <w:r>
        <w:rPr>
          <w:b/>
          <w:bCs/>
        </w:rPr>
        <w:t xml:space="preserve">obligaciones financieras</w:t>
      </w:r>
      <w:r>
        <w:t xml:space="preserve">, para no duplicarlas.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2E75B6" w:sz="4"/>
              <w:left w:val="single" w:color="2E75B6" w:sz="24"/>
              <w:bottom w:val="single" w:color="2E75B6" w:sz="4"/>
              <w:right w:val="single" w:color="2E75B6" w:sz="4"/>
            </w:tcBorders>
            <w:shd w:fill="F2F7FC" w:color="auto" w:val="clear"/>
            <w:tcMar>
              <w:top w:type="dxa" w:w="100"/>
              <w:left w:type="dxa" w:w="180"/>
              <w:bottom w:type="dxa" w:w="100"/>
              <w:right w:type="dxa" w:w="180"/>
            </w:tcMar>
          </w:tcPr>
          <w:p>
            <w:pPr>
              <w:spacing w:after="60"/>
            </w:pPr>
            <w:r>
              <w:rPr>
                <w:b/>
                <w:bCs/>
                <w:color w:val="2E75B6"/>
                <w:sz w:val="20"/>
                <w:szCs w:val="20"/>
              </w:rPr>
              <w:t xml:space="preserve">Ejemplo (datos ficticios) — estimación de gastos esenciales</w:t>
            </w:r>
          </w:p>
          <w:p>
            <w:pPr>
              <w:spacing w:after="50"/>
              <w:jc w:val="left"/>
            </w:pPr>
            <w:r>
              <w:rPr>
                <w:sz w:val="20"/>
                <w:szCs w:val="20"/>
              </w:rPr>
              <w:t xml:space="preserve">Hogar de 3 personas. Declarado por el cliente: alimentación US$200, alquiler US$180, servicios US$55, transporte US$50, salud y educación US$35. </w:t>
            </w:r>
            <w:r>
              <w:rPr>
                <w:b/>
                <w:bCs/>
                <w:sz w:val="20"/>
                <w:szCs w:val="20"/>
              </w:rPr>
              <w:t xml:space="preserve">Total declarado: US$520.</w:t>
            </w:r>
          </w:p>
          <w:p>
            <w:pPr>
              <w:spacing w:after="50"/>
              <w:jc w:val="left"/>
            </w:pPr>
            <w:r>
              <w:rPr>
                <w:sz w:val="20"/>
                <w:szCs w:val="20"/>
              </w:rPr>
              <w:t xml:space="preserve">Gasto mínimo de referencia institucional (supuesto del ejemplo) para un hogar de 3 personas: US$480.</w:t>
            </w:r>
          </w:p>
          <w:p>
            <w:pPr>
              <w:spacing w:after="50"/>
              <w:jc w:val="left"/>
            </w:pPr>
            <w:r>
              <w:rPr>
                <w:sz w:val="20"/>
                <w:szCs w:val="20"/>
              </w:rPr>
              <w:t xml:space="preserve">Como US$520 &gt; US$480, se utiliza </w:t>
            </w:r>
            <w:r>
              <w:rPr>
                <w:b/>
                <w:bCs/>
                <w:sz w:val="20"/>
                <w:szCs w:val="20"/>
              </w:rPr>
              <w:t xml:space="preserve">US$520</w:t>
            </w:r>
            <w:r>
              <w:rPr>
                <w:sz w:val="20"/>
                <w:szCs w:val="20"/>
              </w:rPr>
              <w:t xml:space="preserve"> (el mayor de ambos, criterio prudente).</w:t>
            </w:r>
          </w:p>
        </w:tc>
      </w:tr>
    </w:tbl>
    <w:p>
      <w:pPr>
        <w:spacing w:after="120"/>
      </w:pPr>
    </w:p>
    <w:p>
      <w:pPr>
        <w:pStyle w:val="Heading1"/>
        <w:pageBreakBefore/>
      </w:pPr>
      <w:r>
        <w:t xml:space="preserve">Capítulo 4. Evaluación de la capacidad real de pago</w:t>
      </w:r>
    </w:p>
    <w:p>
      <w:pPr>
        <w:keepNext w:val="false"/>
        <w:spacing w:after="120" w:before="0"/>
        <w:jc w:val="both"/>
      </w:pPr>
      <w:r>
        <w:rPr>
          <w:i/>
          <w:iCs/>
        </w:rPr>
        <w:t xml:space="preserve">Desarrolla el apartado original 3: «Evaluación de la capacidad de pago del prestatario».</w:t>
      </w:r>
    </w:p>
    <w:p>
      <w:pPr>
        <w:pStyle w:val="Heading2"/>
        <w:keepNext/>
      </w:pPr>
      <w:r>
        <w:t xml:space="preserve">4.1 Idea central</w:t>
      </w:r>
    </w:p>
    <w:p>
      <w:pPr>
        <w:keepNext w:val="false"/>
        <w:spacing w:after="120" w:before="0"/>
        <w:jc w:val="both"/>
      </w:pPr>
      <w:r>
        <w:t xml:space="preserve">La capacidad de pago responde a una pregunta muy concreta: </w:t>
      </w:r>
      <w:r>
        <w:rPr>
          <w:b/>
          <w:bCs/>
        </w:rPr>
        <w:t xml:space="preserve">después de pagar lo indispensable para vivir (o para operar el negocio) y las deudas que ya tiene, ¿le queda dinero suficiente, de forma estable, para pagar la nueva cuota y conservar un margen para imprevistos?</w:t>
      </w:r>
      <w:r>
        <w:t xml:space="preserve"> Todo el capítulo desarrolla cómo calcularlo sin errores.</w:t>
      </w:r>
    </w:p>
    <w:p>
      <w:pPr>
        <w:pStyle w:val="Heading2"/>
        <w:keepNext/>
      </w:pPr>
      <w:r>
        <w:t xml:space="preserve">4.2 Componentes del análisis</w:t>
      </w:r>
    </w:p>
    <w:p>
      <w:pPr>
        <w:keepNext/>
        <w:spacing w:after="60" w:before="120"/>
      </w:pPr>
      <w:r>
        <w:rPr>
          <w:b/>
          <w:bCs/>
          <w:color w:val="1F3864"/>
          <w:sz w:val="19"/>
          <w:szCs w:val="19"/>
        </w:rPr>
        <w:t xml:space="preserve">Tabla 4.1. Elementos de la capacidad de 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4212"/>
        <w:gridCol w:w="3089"/>
      </w:tblGrid>
      <w:tr>
        <w:trPr>
          <w:cantSplit/>
          <w:tblHeader/>
        </w:trPr>
        <w:tc>
          <w:tcPr>
            <w:tcW w:type="dxa" w:w="205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Componente</w:t>
            </w:r>
          </w:p>
        </w:tc>
        <w:tc>
          <w:tcPr>
            <w:tcW w:type="dxa" w:w="421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Definición sencilla</w:t>
            </w:r>
          </w:p>
        </w:tc>
        <w:tc>
          <w:tcPr>
            <w:tcW w:type="dxa" w:w="308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Ejemplo</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Ingreso bruto</w:t>
            </w:r>
          </w:p>
        </w:tc>
        <w:tc>
          <w:tcPr>
            <w:tcW w:type="dxa" w:w="421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Total que se gana antes de descuentos.</w:t>
            </w:r>
          </w:p>
        </w:tc>
        <w:tc>
          <w:tcPr>
            <w:tcW w:type="dxa" w:w="308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Salario de US$1,400.</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Ingreso neto</w:t>
            </w:r>
          </w:p>
        </w:tc>
        <w:tc>
          <w:tcPr>
            <w:tcW w:type="dxa" w:w="421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Lo que efectivamente se recibe después de descuentos de ley (y otros descuentos obligatorios).</w:t>
            </w:r>
          </w:p>
        </w:tc>
        <w:tc>
          <w:tcPr>
            <w:tcW w:type="dxa" w:w="308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US$1,195 según boleta de pago.</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Ingreso recurrente</w:t>
            </w:r>
          </w:p>
        </w:tc>
        <w:tc>
          <w:tcPr>
            <w:tcW w:type="dxa" w:w="421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Ingreso que se repite con regularidad y se espera que continúe.</w:t>
            </w:r>
          </w:p>
        </w:tc>
        <w:tc>
          <w:tcPr>
            <w:tcW w:type="dxa" w:w="308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Salario mensual con contrato indefinido.</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Ingreso variable</w:t>
            </w:r>
          </w:p>
        </w:tc>
        <w:tc>
          <w:tcPr>
            <w:tcW w:type="dxa" w:w="421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Ingreso cuyo monto cambia de un mes a otro.</w:t>
            </w:r>
          </w:p>
        </w:tc>
        <w:tc>
          <w:tcPr>
            <w:tcW w:type="dxa" w:w="308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Comisiones, honorarios, horas extra.</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Gastos esenciales</w:t>
            </w:r>
          </w:p>
        </w:tc>
        <w:tc>
          <w:tcPr>
            <w:tcW w:type="dxa" w:w="421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Gastos indispensables del hogar o de operación.</w:t>
            </w:r>
          </w:p>
        </w:tc>
        <w:tc>
          <w:tcPr>
            <w:tcW w:type="dxa" w:w="308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Alimentación, vivienda, servicios, transporte.</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Obligaciones financieras</w:t>
            </w:r>
          </w:p>
        </w:tc>
        <w:tc>
          <w:tcPr>
            <w:tcW w:type="dxa" w:w="421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Cuotas de préstamos, tarjetas y otras deudas vigentes.</w:t>
            </w:r>
          </w:p>
        </w:tc>
        <w:tc>
          <w:tcPr>
            <w:tcW w:type="dxa" w:w="308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Pago mensual de tarjeta de crédito.</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Ingreso disponible</w:t>
            </w:r>
          </w:p>
        </w:tc>
        <w:tc>
          <w:tcPr>
            <w:tcW w:type="dxa" w:w="421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Lo que queda después de gastos esenciales y otras obligaciones no financieras.</w:t>
            </w:r>
          </w:p>
        </w:tc>
        <w:tc>
          <w:tcPr>
            <w:tcW w:type="dxa" w:w="308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US$1,195 − US$520 = US$675.</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Cuota estimada</w:t>
            </w:r>
          </w:p>
        </w:tc>
        <w:tc>
          <w:tcPr>
            <w:tcW w:type="dxa" w:w="421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Pago periódico del nuevo crédito.</w:t>
            </w:r>
          </w:p>
        </w:tc>
        <w:tc>
          <w:tcPr>
            <w:tcW w:type="dxa" w:w="308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US$170.04 mensuales.</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Capacidad residual</w:t>
            </w:r>
          </w:p>
        </w:tc>
        <w:tc>
          <w:tcPr>
            <w:tcW w:type="dxa" w:w="421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Lo que queda después de pagar todo, incluida la nueva cuota.</w:t>
            </w:r>
          </w:p>
        </w:tc>
        <w:tc>
          <w:tcPr>
            <w:tcW w:type="dxa" w:w="308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US$444.96.</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Análisis de sensibilidad</w:t>
            </w:r>
          </w:p>
        </w:tc>
        <w:tc>
          <w:tcPr>
            <w:tcW w:type="dxa" w:w="421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Repetir el cálculo con supuestos adversos.</w:t>
            </w:r>
          </w:p>
        </w:tc>
        <w:tc>
          <w:tcPr>
            <w:tcW w:type="dxa" w:w="308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Ingreso −10 % y gastos +10 %.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77C02" w:sz="4"/>
              <w:left w:val="single" w:color="C77C02" w:sz="24"/>
              <w:bottom w:val="single" w:color="C77C02" w:sz="4"/>
              <w:right w:val="single" w:color="C77C02" w:sz="4"/>
            </w:tcBorders>
            <w:shd w:fill="FFF4E0" w:color="auto" w:val="clear"/>
            <w:tcMar>
              <w:top w:type="dxa" w:w="100"/>
              <w:left w:type="dxa" w:w="180"/>
              <w:bottom w:type="dxa" w:w="100"/>
              <w:right w:type="dxa" w:w="180"/>
            </w:tcMar>
          </w:tcPr>
          <w:p>
            <w:pPr>
              <w:spacing w:after="60"/>
            </w:pPr>
            <w:r>
              <w:rPr>
                <w:b/>
                <w:bCs/>
                <w:color w:val="C77C02"/>
                <w:sz w:val="20"/>
                <w:szCs w:val="20"/>
              </w:rPr>
              <w:t xml:space="preserve">Nota metodológica</w:t>
            </w:r>
          </w:p>
          <w:p>
            <w:pPr>
              <w:spacing w:after="50"/>
              <w:jc w:val="left"/>
            </w:pPr>
            <w:r>
              <w:rPr>
                <w:b/>
                <w:bCs/>
                <w:sz w:val="20"/>
                <w:szCs w:val="20"/>
              </w:rPr>
              <w:t xml:space="preserve">Descuentos de ley:</w:t>
            </w:r>
            <w:r>
              <w:rPr>
                <w:sz w:val="20"/>
                <w:szCs w:val="20"/>
              </w:rPr>
              <w:t xml:space="preserve"> en El Salvador las boletas de pago suelen reflejar cotizaciones a seguridad social, pensiones e impuesto sobre la renta. Esta guía </w:t>
            </w:r>
            <w:r>
              <w:rPr>
                <w:b/>
                <w:bCs/>
                <w:sz w:val="20"/>
                <w:szCs w:val="20"/>
              </w:rPr>
              <w:t xml:space="preserve">no reproduce</w:t>
            </w:r>
            <w:r>
              <w:rPr>
                <w:sz w:val="20"/>
                <w:szCs w:val="20"/>
              </w:rPr>
              <w:t xml:space="preserve"> porcentajes ni tablas de retención: el analista debe tomar los descuentos reales de la boleta o constancia y, cuando necesite estimarlos, usar la normativa vigente publicada por las autoridades competentes.</w:t>
            </w:r>
          </w:p>
        </w:tc>
      </w:tr>
    </w:tbl>
    <w:p>
      <w:pPr>
        <w:spacing w:after="120"/>
      </w:pPr>
    </w:p>
    <w:p>
      <w:pPr>
        <w:pStyle w:val="Heading2"/>
        <w:keepNext/>
      </w:pPr>
      <w:r>
        <w:t xml:space="preserve">4.3 Cálculo de la cuota estimada</w:t>
      </w:r>
    </w:p>
    <w:p>
      <w:pPr>
        <w:keepNext w:val="false"/>
        <w:spacing w:after="120" w:before="0"/>
        <w:jc w:val="both"/>
      </w:pPr>
      <w:r>
        <w:t xml:space="preserve">Para un préstamo con cuotas fijas mensuales (sistema francés), la cuota se calcula con la fórmula de anualidad. La tasa debe expresarse en términos mensuales.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1F3864" w:sz="4"/>
              <w:left w:val="single" w:color="1F3864" w:sz="24"/>
              <w:bottom w:val="single" w:color="1F3864" w:sz="4"/>
              <w:right w:val="single" w:color="1F3864" w:sz="4"/>
            </w:tcBorders>
            <w:shd w:fill="DEEAF6" w:color="auto" w:val="clear"/>
            <w:tcMar>
              <w:top w:type="dxa" w:w="100"/>
              <w:left w:type="dxa" w:w="180"/>
              <w:bottom w:type="dxa" w:w="100"/>
              <w:right w:type="dxa" w:w="180"/>
            </w:tcMar>
          </w:tcPr>
          <w:p>
            <w:pPr>
              <w:spacing w:after="60"/>
            </w:pPr>
            <w:r>
              <w:rPr>
                <w:b/>
                <w:bCs/>
                <w:color w:val="1F3864"/>
                <w:sz w:val="20"/>
                <w:szCs w:val="20"/>
              </w:rPr>
              <w:t xml:space="preserve">Fórmula — cuota fija mensual</w:t>
            </w:r>
          </w:p>
          <w:p>
            <w:pPr>
              <w:spacing w:after="50"/>
              <w:jc w:val="center"/>
            </w:pPr>
            <w:r>
              <w:rPr>
                <w:sz w:val="20"/>
                <w:szCs w:val="20"/>
              </w:rPr>
              <w:t xml:space="preserve">Cuota = P × i ÷ [ 1 − (1 + i)^(−n) ]</w:t>
            </w:r>
          </w:p>
          <w:p>
            <w:pPr>
              <w:spacing w:after="50"/>
              <w:jc w:val="center"/>
            </w:pPr>
            <w:r>
              <w:rPr>
                <w:sz w:val="20"/>
                <w:szCs w:val="20"/>
              </w:rPr>
              <w:t xml:space="preserve">P = monto del préstamo · i = tasa de interés mensual (tasa nominal anual ÷ 12) · n = número de cuotas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2E75B6" w:sz="4"/>
              <w:left w:val="single" w:color="2E75B6" w:sz="24"/>
              <w:bottom w:val="single" w:color="2E75B6" w:sz="4"/>
              <w:right w:val="single" w:color="2E75B6" w:sz="4"/>
            </w:tcBorders>
            <w:shd w:fill="F2F7FC" w:color="auto" w:val="clear"/>
            <w:tcMar>
              <w:top w:type="dxa" w:w="100"/>
              <w:left w:type="dxa" w:w="180"/>
              <w:bottom w:type="dxa" w:w="100"/>
              <w:right w:type="dxa" w:w="180"/>
            </w:tcMar>
          </w:tcPr>
          <w:p>
            <w:pPr>
              <w:spacing w:after="60"/>
            </w:pPr>
            <w:r>
              <w:rPr>
                <w:b/>
                <w:bCs/>
                <w:color w:val="2E75B6"/>
                <w:sz w:val="20"/>
                <w:szCs w:val="20"/>
              </w:rPr>
              <w:t xml:space="preserve">Ejemplo (datos ficticios) — cálculo de cuota paso a paso</w:t>
            </w:r>
          </w:p>
          <w:p>
            <w:pPr>
              <w:spacing w:after="50"/>
              <w:jc w:val="left"/>
            </w:pPr>
            <w:r>
              <w:rPr>
                <w:sz w:val="20"/>
                <w:szCs w:val="20"/>
              </w:rPr>
              <w:t xml:space="preserve">Datos: P = US$6,000; tasa nominal anual = 16 %; n = 48 meses.</w:t>
            </w:r>
          </w:p>
          <w:p>
            <w:pPr>
              <w:spacing w:after="50"/>
              <w:jc w:val="left"/>
            </w:pPr>
            <w:r>
              <w:rPr>
                <w:sz w:val="20"/>
                <w:szCs w:val="20"/>
              </w:rPr>
              <w:t xml:space="preserve">Paso 1. Tasa mensual: i = 0.16 ÷ 12 = </w:t>
            </w:r>
            <w:r>
              <w:rPr>
                <w:b/>
                <w:bCs/>
                <w:sz w:val="20"/>
                <w:szCs w:val="20"/>
              </w:rPr>
              <w:t xml:space="preserve">0.013333</w:t>
            </w:r>
            <w:r>
              <w:rPr>
                <w:sz w:val="20"/>
                <w:szCs w:val="20"/>
              </w:rPr>
              <w:t xml:space="preserve"> (1.3333 %).</w:t>
            </w:r>
          </w:p>
          <w:p>
            <w:pPr>
              <w:spacing w:after="50"/>
              <w:jc w:val="left"/>
            </w:pPr>
            <w:r>
              <w:rPr>
                <w:sz w:val="20"/>
                <w:szCs w:val="20"/>
              </w:rPr>
              <w:t xml:space="preserve">Paso 2. Factor de descuento: (1 + 0.013333)^(−48) = </w:t>
            </w:r>
            <w:r>
              <w:rPr>
                <w:b/>
                <w:bCs/>
                <w:sz w:val="20"/>
                <w:szCs w:val="20"/>
              </w:rPr>
              <w:t xml:space="preserve">0.529527</w:t>
            </w:r>
            <w:r>
              <w:rPr>
                <w:sz w:val="20"/>
                <w:szCs w:val="20"/>
              </w:rPr>
              <w:t xml:space="preserve">.</w:t>
            </w:r>
          </w:p>
          <w:p>
            <w:pPr>
              <w:spacing w:after="50"/>
              <w:jc w:val="left"/>
            </w:pPr>
            <w:r>
              <w:rPr>
                <w:sz w:val="20"/>
                <w:szCs w:val="20"/>
              </w:rPr>
              <w:t xml:space="preserve">Paso 3. Denominador: 1 − 0.529527 = </w:t>
            </w:r>
            <w:r>
              <w:rPr>
                <w:b/>
                <w:bCs/>
                <w:sz w:val="20"/>
                <w:szCs w:val="20"/>
              </w:rPr>
              <w:t xml:space="preserve">0.470473</w:t>
            </w:r>
            <w:r>
              <w:rPr>
                <w:sz w:val="20"/>
                <w:szCs w:val="20"/>
              </w:rPr>
              <w:t xml:space="preserve">.</w:t>
            </w:r>
          </w:p>
          <w:p>
            <w:pPr>
              <w:spacing w:after="50"/>
              <w:jc w:val="left"/>
            </w:pPr>
            <w:r>
              <w:rPr>
                <w:sz w:val="20"/>
                <w:szCs w:val="20"/>
              </w:rPr>
              <w:t xml:space="preserve">Paso 4. Numerador: 6,000 × 0.013333 = </w:t>
            </w:r>
            <w:r>
              <w:rPr>
                <w:b/>
                <w:bCs/>
                <w:sz w:val="20"/>
                <w:szCs w:val="20"/>
              </w:rPr>
              <w:t xml:space="preserve">80.00</w:t>
            </w:r>
            <w:r>
              <w:rPr>
                <w:sz w:val="20"/>
                <w:szCs w:val="20"/>
              </w:rPr>
              <w:t xml:space="preserve">.</w:t>
            </w:r>
          </w:p>
          <w:p>
            <w:pPr>
              <w:spacing w:after="50"/>
              <w:jc w:val="left"/>
            </w:pPr>
            <w:r>
              <w:rPr>
                <w:sz w:val="20"/>
                <w:szCs w:val="20"/>
              </w:rPr>
              <w:t xml:space="preserve">Paso 5. Cuota = 80.00 ÷ 0.470473 = </w:t>
            </w:r>
            <w:r>
              <w:rPr>
                <w:b/>
                <w:bCs/>
                <w:sz w:val="20"/>
                <w:szCs w:val="20"/>
              </w:rPr>
              <w:t xml:space="preserve">US$170.04</w:t>
            </w:r>
            <w:r>
              <w:rPr>
                <w:sz w:val="20"/>
                <w:szCs w:val="20"/>
              </w:rPr>
              <w:t xml:space="preserve">.</w:t>
            </w:r>
          </w:p>
          <w:p>
            <w:pPr>
              <w:spacing w:after="50"/>
              <w:jc w:val="left"/>
            </w:pPr>
            <w:r>
              <w:rPr>
                <w:sz w:val="20"/>
                <w:szCs w:val="20"/>
              </w:rPr>
              <w:t xml:space="preserve">En una hoja de cálculo: =PAGO(16%/12; 48; −6000) devuelve 170.04.</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77C02" w:sz="4"/>
              <w:left w:val="single" w:color="C77C02" w:sz="24"/>
              <w:bottom w:val="single" w:color="C77C02" w:sz="4"/>
              <w:right w:val="single" w:color="C77C02" w:sz="4"/>
            </w:tcBorders>
            <w:shd w:fill="FFF4E0" w:color="auto" w:val="clear"/>
            <w:tcMar>
              <w:top w:type="dxa" w:w="100"/>
              <w:left w:type="dxa" w:w="180"/>
              <w:bottom w:type="dxa" w:w="100"/>
              <w:right w:type="dxa" w:w="180"/>
            </w:tcMar>
          </w:tcPr>
          <w:p>
            <w:pPr>
              <w:spacing w:after="60"/>
            </w:pPr>
            <w:r>
              <w:rPr>
                <w:b/>
                <w:bCs/>
                <w:color w:val="C77C02"/>
                <w:sz w:val="20"/>
                <w:szCs w:val="20"/>
              </w:rPr>
              <w:t xml:space="preserve">Nota metodológica</w:t>
            </w:r>
          </w:p>
          <w:p>
            <w:pPr>
              <w:spacing w:after="50"/>
              <w:jc w:val="left"/>
            </w:pPr>
            <w:r>
              <w:rPr>
                <w:sz w:val="20"/>
                <w:szCs w:val="20"/>
              </w:rPr>
              <w:t xml:space="preserve">La cuota que paga el cliente puede incluir, además de capital e intereses, seguros u otros cargos permitidos que se informen conforme a las normas de transparencia. Para el análisis de capacidad debe usarse la </w:t>
            </w:r>
            <w:r>
              <w:rPr>
                <w:b/>
                <w:bCs/>
                <w:sz w:val="20"/>
                <w:szCs w:val="20"/>
              </w:rPr>
              <w:t xml:space="preserve">cuota total</w:t>
            </w:r>
            <w:r>
              <w:rPr>
                <w:sz w:val="20"/>
                <w:szCs w:val="20"/>
              </w:rPr>
              <w:t xml:space="preserve"> que efectivamente pagará. Además, la tasa pactada no puede superar la tasa máxima legal publicada por el BCR para el segmento y monto correspondiente (Ley contra la Usura).</w:t>
            </w:r>
          </w:p>
        </w:tc>
      </w:tr>
    </w:tbl>
    <w:p>
      <w:pPr>
        <w:spacing w:after="120"/>
      </w:pPr>
    </w:p>
    <w:p>
      <w:pPr>
        <w:pStyle w:val="Heading2"/>
        <w:keepNext/>
      </w:pPr>
      <w:r>
        <w:t xml:space="preserve">4.4 Indicadores de capacidad de pago</w:t>
      </w:r>
    </w:p>
    <w:p>
      <w:pPr>
        <w:pStyle w:val="Heading3"/>
        <w:keepNext/>
      </w:pPr>
      <w:r>
        <w:t xml:space="preserve">4.4.1 Ingreso neto disponible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3"/>
        <w:gridCol w:w="6927"/>
      </w:tblGrid>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Definición</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Dinero que queda del ingreso neto después de pagar los gastos esenciales y otras obligaciones no financieras incluidas en el análisis (por ejemplo, pensión alimenticia, cuota de colegio pactada).</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9"/>
                <w:szCs w:val="19"/>
              </w:rPr>
              <w:t xml:space="preserve">Para qué sirve</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9"/>
                <w:szCs w:val="19"/>
              </w:rPr>
              <w:t xml:space="preserve">Muestra cuánto dinero tiene la persona, antes de deudas, para atender préstamos.</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Cómo se aplica</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Se usa el ingreso neto verificado y los gastos esenciales estimados con prudencia (Capítulo 3).</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9"/>
                <w:szCs w:val="19"/>
              </w:rPr>
              <w:t xml:space="preserve">Fórmula</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9"/>
                <w:szCs w:val="19"/>
              </w:rPr>
              <w:t xml:space="preserve">Ingreso neto disponible = Ingreso neto − Gastos esenciales − Otras obligaciones no financieras consideradas</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Ejemplo</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1,195 − 520 − 0 = </w:t>
            </w:r>
            <w:r>
              <w:rPr>
                <w:b/>
                <w:bCs/>
                <w:sz w:val="19"/>
                <w:szCs w:val="19"/>
              </w:rPr>
              <w:t xml:space="preserve">US$675</w:t>
            </w:r>
            <w:r>
              <w:rPr>
                <w:b w:val="false"/>
                <w:bCs w:val="false"/>
                <w:sz w:val="19"/>
                <w:szCs w:val="19"/>
              </w:rPr>
              <w:t xml:space="preserve">.</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9"/>
                <w:szCs w:val="19"/>
              </w:rPr>
              <w:t xml:space="preserve">Interpretación</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9"/>
                <w:szCs w:val="19"/>
              </w:rPr>
              <w:t xml:space="preserve">La persona dispone de US$675 para pagar todas sus deudas (actuales y nuevas) y conservar un margen.</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Limitaciones / errores a evitar</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No restar aquí las cuotas de préstamos</w:t>
            </w:r>
            <w:r>
              <w:rPr>
                <w:b w:val="false"/>
                <w:bCs w:val="false"/>
                <w:sz w:val="19"/>
                <w:szCs w:val="19"/>
              </w:rPr>
              <w:t xml:space="preserve">: se descuentan en la capacidad residual. Si se restan en ambos lugares se duplican y se subestima la capacidad; si no se restan en ninguno, se sobreestima.</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b/>
                <w:bCs/>
                <w:sz w:val="19"/>
                <w:szCs w:val="19"/>
              </w:rPr>
              <w:t xml:space="preserve">Influencia en la decisión</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b w:val="false"/>
                <w:bCs w:val="false"/>
                <w:sz w:val="19"/>
                <w:szCs w:val="19"/>
              </w:rPr>
              <w:t xml:space="preserve">Si el ingreso neto disponible es menor que la suma de deudas actuales más la nueva cuota, la operación no tiene capacidad.</w:t>
            </w:r>
          </w:p>
        </w:tc>
      </w:tr>
    </w:tbl>
    <w:p>
      <w:pPr>
        <w:spacing w:after="120"/>
      </w:pPr>
    </w:p>
    <w:p>
      <w:pPr>
        <w:pStyle w:val="Heading3"/>
        <w:keepNext/>
      </w:pPr>
      <w:r>
        <w:t xml:space="preserve">4.4.2 Relación deuda-ingreso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3"/>
        <w:gridCol w:w="6927"/>
      </w:tblGrid>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Definición</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Porcentaje del ingreso neto mensual que se destina a pagar deudas.</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9"/>
                <w:szCs w:val="19"/>
              </w:rPr>
              <w:t xml:space="preserve">Para qué sirve</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9"/>
                <w:szCs w:val="19"/>
              </w:rPr>
              <w:t xml:space="preserve">Mide el peso de las deudas sobre el ingreso y permite comparar solicitantes.</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Cómo se aplica</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Se suman todas las cuotas mensuales (actuales más la nueva) y se dividen entre el ingreso neto mensual verificado.</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9"/>
                <w:szCs w:val="19"/>
              </w:rPr>
              <w:t xml:space="preserve">Fórmula</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9"/>
                <w:szCs w:val="19"/>
              </w:rPr>
              <w:t xml:space="preserve">Relación deuda-ingreso (%) = Total de pagos mensuales de deuda ÷ Ingreso mensual neto × 100</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Ejemplo</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Tarjeta US$60 + nueva cuota US$170.04 = US$230.04. 230.04 ÷ 1,195 × 100 = </w:t>
            </w:r>
            <w:r>
              <w:rPr>
                <w:b/>
                <w:bCs/>
                <w:sz w:val="19"/>
                <w:szCs w:val="19"/>
              </w:rPr>
              <w:t xml:space="preserve">19.25 %</w:t>
            </w:r>
            <w:r>
              <w:rPr>
                <w:b w:val="false"/>
                <w:bCs w:val="false"/>
                <w:sz w:val="19"/>
                <w:szCs w:val="19"/>
              </w:rPr>
              <w:t xml:space="preserve">.</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9"/>
                <w:szCs w:val="19"/>
              </w:rPr>
              <w:t xml:space="preserve">Interpretación</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9"/>
                <w:szCs w:val="19"/>
              </w:rPr>
              <w:t xml:space="preserve">Una quinta parte del ingreso neto se destina a deudas. El resto cubre gastos y margen.</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Limitaciones / errores a evitar</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Usar ingreso bruto (reduce artificialmente el indicador); omitir tarjetas o fianzas; no considerar que dos personas con igual porcentaje pueden tener capacidades muy distintas según sus gastos.</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b/>
                <w:bCs/>
                <w:sz w:val="19"/>
                <w:szCs w:val="19"/>
              </w:rPr>
              <w:t xml:space="preserve">Influencia en la decisión</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b w:val="false"/>
                <w:bCs w:val="false"/>
                <w:sz w:val="19"/>
                <w:szCs w:val="19"/>
              </w:rPr>
              <w:t xml:space="preserve">Se compara con los rangos que defina la política institucional. No existe un límite legal universal identificado; los rangos de la Tabla 4.2 son orientativos.</w:t>
            </w:r>
          </w:p>
        </w:tc>
      </w:tr>
    </w:tbl>
    <w:p>
      <w:pPr>
        <w:spacing w:after="120"/>
      </w:pPr>
    </w:p>
    <w:p>
      <w:pPr>
        <w:pStyle w:val="Heading3"/>
        <w:keepNext/>
      </w:pPr>
      <w:r>
        <w:t xml:space="preserve">4.4.3 Capacidad residual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3"/>
        <w:gridCol w:w="6927"/>
      </w:tblGrid>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Definición</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Dinero que le queda al solicitante cada mes después de cubrir gastos esenciales, deudas actuales y la nueva cuota.</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9"/>
                <w:szCs w:val="19"/>
              </w:rPr>
              <w:t xml:space="preserve">Para qué sirve</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9"/>
                <w:szCs w:val="19"/>
              </w:rPr>
              <w:t xml:space="preserve">Es el indicador más directo de si la cuota «cabe» en el presupuesto y de cuánto margen queda para imprevistos.</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Cómo se aplica</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Con los mismos datos del ingreso neto disponible y la cuota estimada.</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9"/>
                <w:szCs w:val="19"/>
              </w:rPr>
              <w:t xml:space="preserve">Fórmula</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9"/>
                <w:szCs w:val="19"/>
              </w:rPr>
              <w:t xml:space="preserve">Capacidad residual = Ingreso neto − Gastos considerados − Obligaciones financieras existentes − Cuota del nuevo crédito</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Ejemplo</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1,195 − 520 − 60 − 170.04 = </w:t>
            </w:r>
            <w:r>
              <w:rPr>
                <w:b/>
                <w:bCs/>
                <w:sz w:val="19"/>
                <w:szCs w:val="19"/>
              </w:rPr>
              <w:t xml:space="preserve">US$444.96</w:t>
            </w:r>
            <w:r>
              <w:rPr>
                <w:b w:val="false"/>
                <w:bCs w:val="false"/>
                <w:sz w:val="19"/>
                <w:szCs w:val="19"/>
              </w:rPr>
              <w:t xml:space="preserve">.</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9"/>
                <w:szCs w:val="19"/>
              </w:rPr>
              <w:t xml:space="preserve">Interpretación</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9"/>
                <w:szCs w:val="19"/>
              </w:rPr>
              <w:t xml:space="preserve">Después de todo, le quedan US$444.96 al mes. Es un margen amplio.</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Limitaciones / errores a evitar</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No tener en cuenta gastos estacionales (inicio de año escolar) o ingresos no recurrentes incluidos en el promedio.</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b/>
                <w:bCs/>
                <w:sz w:val="19"/>
                <w:szCs w:val="19"/>
              </w:rPr>
              <w:t xml:space="preserve">Influencia en la decisión</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b w:val="false"/>
                <w:bCs w:val="false"/>
                <w:sz w:val="19"/>
                <w:szCs w:val="19"/>
              </w:rPr>
              <w:t xml:space="preserve">Una capacidad residual negativa es, en principio, un </w:t>
            </w:r>
            <w:r>
              <w:rPr>
                <w:b/>
                <w:bCs/>
                <w:sz w:val="19"/>
                <w:szCs w:val="19"/>
              </w:rPr>
              <w:t xml:space="preserve">riesgo crítico</w:t>
            </w:r>
            <w:r>
              <w:rPr>
                <w:b w:val="false"/>
                <w:bCs w:val="false"/>
                <w:sz w:val="19"/>
                <w:szCs w:val="19"/>
              </w:rPr>
              <w:t xml:space="preserve">: la operación no debería recomendarse tal como está planteada.</w:t>
            </w:r>
          </w:p>
        </w:tc>
      </w:tr>
    </w:tbl>
    <w:p>
      <w:pPr>
        <w:spacing w:after="120"/>
      </w:pPr>
    </w:p>
    <w:p>
      <w:pPr>
        <w:pStyle w:val="Heading3"/>
        <w:keepNext/>
      </w:pPr>
      <w:r>
        <w:t xml:space="preserve">4.4.4 Cobertura del servicio de la deuda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3"/>
        <w:gridCol w:w="6927"/>
      </w:tblGrid>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Definición</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Número de veces que el flujo de efectivo disponible cubre el pago total de deudas (capital e intereses) de un período.</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9"/>
                <w:szCs w:val="19"/>
              </w:rPr>
              <w:t xml:space="preserve">Para qué sirve</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9"/>
                <w:szCs w:val="19"/>
              </w:rPr>
              <w:t xml:space="preserve">Es el indicador principal para negocios y empresas, y útil para personas con ingresos propios.</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Cómo se aplica</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Se calcula con el flujo de efectivo disponible del negocio (después de gastos operativos, impuestos y retiros del propietario) y el servicio total de la deuda.</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9"/>
                <w:szCs w:val="19"/>
              </w:rPr>
              <w:t xml:space="preserve">Fórmula</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9"/>
                <w:szCs w:val="19"/>
              </w:rPr>
              <w:t xml:space="preserve">Cobertura del servicio de la deuda = Flujo de efectivo disponible para el servicio de la deuda ÷ Servicio total de la deuda</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Ejemplo</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Flujo disponible US$2,200; deudas actuales US$650 + nueva cuota US$683.16 = US$1,333.16. 2,200 ÷ 1,333.16 = </w:t>
            </w:r>
            <w:r>
              <w:rPr>
                <w:b/>
                <w:bCs/>
                <w:sz w:val="19"/>
                <w:szCs w:val="19"/>
              </w:rPr>
              <w:t xml:space="preserve">1.65 veces</w:t>
            </w:r>
            <w:r>
              <w:rPr>
                <w:b w:val="false"/>
                <w:bCs w:val="false"/>
                <w:sz w:val="19"/>
                <w:szCs w:val="19"/>
              </w:rPr>
              <w:t xml:space="preserve">.</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9"/>
                <w:szCs w:val="19"/>
              </w:rPr>
              <w:t xml:space="preserve">Interpretación</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9"/>
                <w:szCs w:val="19"/>
              </w:rPr>
              <w:t xml:space="preserve">El negocio genera US$1.65 por cada US$1.00 que debe pagar. Un valor menor que 1.00 indica que el flujo no alcanza.</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Limitaciones / errores a evitar</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Usar la utilidad contable en lugar del flujo de efectivo; no descontar el retiro del propietario para gastos familiares.</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b/>
                <w:bCs/>
                <w:sz w:val="19"/>
                <w:szCs w:val="19"/>
              </w:rPr>
              <w:t xml:space="preserve">Influencia en la decisión</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b w:val="false"/>
                <w:bCs w:val="false"/>
                <w:sz w:val="19"/>
                <w:szCs w:val="19"/>
              </w:rPr>
              <w:t xml:space="preserve">Se compara con el mínimo definido por política. Coberturas apenas superiores a 1.00 dejan poco margen ante escenarios adversos.</w:t>
            </w:r>
          </w:p>
        </w:tc>
      </w:tr>
    </w:tbl>
    <w:p>
      <w:pPr>
        <w:spacing w:after="120"/>
      </w:pPr>
    </w:p>
    <w:p>
      <w:pPr>
        <w:pStyle w:val="Heading3"/>
        <w:keepNext/>
      </w:pPr>
      <w:r>
        <w:t xml:space="preserve">4.4.5 Rangos orientativos</w:t>
      </w:r>
    </w:p>
    <w:p>
      <w:pPr>
        <w:keepNext/>
        <w:spacing w:after="60" w:before="120"/>
      </w:pPr>
      <w:r>
        <w:rPr>
          <w:b/>
          <w:bCs/>
          <w:color w:val="1F3864"/>
          <w:sz w:val="19"/>
          <w:szCs w:val="19"/>
        </w:rPr>
        <w:t xml:space="preserve">Tabla 4.2. Rangos orientativos (parámetros metodológicos — NO son límites legales)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059"/>
        <w:gridCol w:w="2059"/>
        <w:gridCol w:w="2060"/>
      </w:tblGrid>
      <w:tr>
        <w:trPr>
          <w:cantSplit/>
          <w:tblHeader/>
        </w:trPr>
        <w:tc>
          <w:tcPr>
            <w:tcW w:type="dxa" w:w="318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Indicador</w:t>
            </w:r>
          </w:p>
        </w:tc>
        <w:tc>
          <w:tcPr>
            <w:tcW w:type="dxa" w:w="205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Zona holgada</w:t>
            </w:r>
          </w:p>
        </w:tc>
        <w:tc>
          <w:tcPr>
            <w:tcW w:type="dxa" w:w="205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Zona de atención</w:t>
            </w:r>
          </w:p>
        </w:tc>
        <w:tc>
          <w:tcPr>
            <w:tcW w:type="dxa" w:w="206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Zona de riesgo alto</w:t>
            </w:r>
          </w:p>
        </w:tc>
      </w:tr>
      <w:tr>
        <w:trPr>
          <w:cantSplit/>
        </w:trPr>
        <w:tc>
          <w:tcPr>
            <w:tcW w:type="dxa" w:w="318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Relación deuda-ingreso</w:t>
            </w:r>
          </w:p>
        </w:tc>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Hasta 30 %</w:t>
            </w:r>
          </w:p>
        </w:tc>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Más de 30 % hasta 45 %</w:t>
            </w:r>
          </w:p>
        </w:tc>
        <w:tc>
          <w:tcPr>
            <w:tcW w:type="dxa" w:w="206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Más de 45 %</w:t>
            </w:r>
          </w:p>
        </w:tc>
      </w:tr>
      <w:tr>
        <w:trPr>
          <w:cantSplit/>
        </w:trPr>
        <w:tc>
          <w:tcPr>
            <w:tcW w:type="dxa" w:w="318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Capacidad residual / ingreso neto</w:t>
            </w:r>
          </w:p>
        </w:tc>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Más de 25 %</w:t>
            </w:r>
          </w:p>
        </w:tc>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10 % a 25 %</w:t>
            </w:r>
          </w:p>
        </w:tc>
        <w:tc>
          <w:tcPr>
            <w:tcW w:type="dxa" w:w="206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Menos de 10 % o negativa</w:t>
            </w:r>
          </w:p>
        </w:tc>
      </w:tr>
      <w:tr>
        <w:trPr>
          <w:cantSplit/>
        </w:trPr>
        <w:tc>
          <w:tcPr>
            <w:tcW w:type="dxa" w:w="318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Cobertura del servicio de la deuda</w:t>
            </w:r>
          </w:p>
        </w:tc>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1.50 veces o más</w:t>
            </w:r>
          </w:p>
        </w:tc>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1.20 a 1.49 veces</w:t>
            </w:r>
          </w:p>
        </w:tc>
        <w:tc>
          <w:tcPr>
            <w:tcW w:type="dxa" w:w="206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Menos de 1.20 veces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B23B2A" w:sz="4"/>
              <w:left w:val="single" w:color="B23B2A" w:sz="24"/>
              <w:bottom w:val="single" w:color="B23B2A" w:sz="4"/>
              <w:right w:val="single" w:color="B23B2A" w:sz="4"/>
            </w:tcBorders>
            <w:shd w:fill="FBE9E7" w:color="auto" w:val="clear"/>
            <w:tcMar>
              <w:top w:type="dxa" w:w="100"/>
              <w:left w:type="dxa" w:w="180"/>
              <w:bottom w:type="dxa" w:w="100"/>
              <w:right w:type="dxa" w:w="180"/>
            </w:tcMar>
          </w:tcPr>
          <w:p>
            <w:pPr>
              <w:spacing w:after="60"/>
            </w:pPr>
            <w:r>
              <w:rPr>
                <w:b/>
                <w:bCs/>
                <w:color w:val="B23B2A"/>
                <w:sz w:val="20"/>
                <w:szCs w:val="20"/>
              </w:rPr>
              <w:t xml:space="preserve">Advertencia sobre los rangos</w:t>
            </w:r>
          </w:p>
          <w:p>
            <w:pPr>
              <w:spacing w:after="50"/>
              <w:jc w:val="left"/>
            </w:pPr>
            <w:r>
              <w:rPr>
                <w:sz w:val="20"/>
                <w:szCs w:val="20"/>
              </w:rPr>
              <w:t xml:space="preserve">Los rangos de la Tabla 4.2 se proponen únicamente como punto de partida para la discusión metodológica. </w:t>
            </w:r>
            <w:r>
              <w:rPr>
                <w:b/>
                <w:bCs/>
                <w:sz w:val="20"/>
                <w:szCs w:val="20"/>
              </w:rPr>
              <w:t xml:space="preserve">Cada institución debe validarlos</w:t>
            </w:r>
            <w:r>
              <w:rPr>
                <w:sz w:val="20"/>
                <w:szCs w:val="20"/>
              </w:rPr>
              <w:t xml:space="preserve"> con el comportamiento histórico de su cartera (por ejemplo, comparando la mora observada en cada rango) y aprobarlos formalmente antes de usarlos como criterio de decisión.</w:t>
            </w:r>
          </w:p>
        </w:tc>
      </w:tr>
    </w:tbl>
    <w:p>
      <w:pPr>
        <w:spacing w:after="120"/>
      </w:pPr>
    </w:p>
    <w:p>
      <w:pPr>
        <w:pStyle w:val="Heading2"/>
        <w:keepNext/>
      </w:pPr>
      <w:r>
        <w:t xml:space="preserve">4.5 Tratamiento de ingresos variables</w:t>
      </w:r>
    </w:p>
    <w:p>
      <w:pPr>
        <w:keepNext w:val="false"/>
        <w:spacing w:after="120" w:before="0"/>
        <w:jc w:val="both"/>
      </w:pPr>
      <w:r>
        <w:t xml:space="preserve">Cuando el ingreso cambia de mes a mes, el promedio simple puede sobreestimar la capacidad. Se recomiendan tres medidas complementarias: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1F3864" w:sz="4"/>
              <w:left w:val="single" w:color="1F3864" w:sz="24"/>
              <w:bottom w:val="single" w:color="1F3864" w:sz="4"/>
              <w:right w:val="single" w:color="1F3864" w:sz="4"/>
            </w:tcBorders>
            <w:shd w:fill="DEEAF6" w:color="auto" w:val="clear"/>
            <w:tcMar>
              <w:top w:type="dxa" w:w="100"/>
              <w:left w:type="dxa" w:w="180"/>
              <w:bottom w:type="dxa" w:w="100"/>
              <w:right w:type="dxa" w:w="180"/>
            </w:tcMar>
          </w:tcPr>
          <w:p>
            <w:pPr>
              <w:spacing w:after="60"/>
            </w:pPr>
            <w:r>
              <w:rPr>
                <w:b/>
                <w:bCs/>
                <w:color w:val="1F3864"/>
                <w:sz w:val="20"/>
                <w:szCs w:val="20"/>
              </w:rPr>
              <w:t xml:space="preserve">Fórmula — promedio, desviación y coeficiente de variación</w:t>
            </w:r>
          </w:p>
          <w:p>
            <w:pPr>
              <w:spacing w:after="50"/>
              <w:jc w:val="center"/>
            </w:pPr>
            <w:r>
              <w:rPr>
                <w:sz w:val="20"/>
                <w:szCs w:val="20"/>
              </w:rPr>
              <w:t xml:space="preserve">Promedio = Σ ingresos ÷ número de meses</w:t>
            </w:r>
          </w:p>
          <w:p>
            <w:pPr>
              <w:spacing w:after="50"/>
              <w:jc w:val="center"/>
            </w:pPr>
            <w:r>
              <w:rPr>
                <w:sz w:val="20"/>
                <w:szCs w:val="20"/>
              </w:rPr>
              <w:t xml:space="preserve">Desviación estándar = raíz cuadrada del promedio de (ingreso − promedio)²</w:t>
            </w:r>
          </w:p>
          <w:p>
            <w:pPr>
              <w:spacing w:after="50"/>
              <w:jc w:val="center"/>
            </w:pPr>
            <w:r>
              <w:rPr>
                <w:sz w:val="20"/>
                <w:szCs w:val="20"/>
              </w:rPr>
              <w:t xml:space="preserve">Coeficiente de variación = Desviación estándar ÷ Promedio</w:t>
            </w:r>
          </w:p>
        </w:tc>
      </w:tr>
    </w:tbl>
    <w:p>
      <w:pPr>
        <w:spacing w:after="120"/>
      </w:pPr>
    </w:p>
    <w:p>
      <w:pPr>
        <w:pStyle w:val="ListParagraph"/>
        <w:numPr>
          <w:ilvl w:val="0"/>
          <w:numId w:val="11"/>
        </w:numPr>
        <w:spacing w:after="60"/>
        <w:jc w:val="left"/>
      </w:pPr>
      <w:r>
        <w:rPr>
          <w:b/>
          <w:bCs/>
        </w:rPr>
        <w:t xml:space="preserve">Coeficiente de variación bajo</w:t>
      </w:r>
      <w:r>
        <w:t xml:space="preserve"> (por ejemplo, menor que 0.15): ingreso relativamente estable; el promedio puede usarse con un ajuste menor.</w:t>
      </w:r>
    </w:p>
    <w:p>
      <w:pPr>
        <w:pStyle w:val="ListParagraph"/>
        <w:numPr>
          <w:ilvl w:val="0"/>
          <w:numId w:val="11"/>
        </w:numPr>
        <w:spacing w:after="60"/>
        <w:jc w:val="left"/>
      </w:pPr>
      <w:r>
        <w:rPr>
          <w:b/>
          <w:bCs/>
        </w:rPr>
        <w:t xml:space="preserve">Coeficiente de variación moderado o alto</w:t>
      </w:r>
      <w:r>
        <w:t xml:space="preserve">: usar una base conservadora, como el promedio de los meses más bajos, el percentil inferior o el promedio menos un porcentaje de ajuste aprobado por política.</w:t>
      </w:r>
    </w:p>
    <w:p>
      <w:pPr>
        <w:pStyle w:val="ListParagraph"/>
        <w:numPr>
          <w:ilvl w:val="0"/>
          <w:numId w:val="11"/>
        </w:numPr>
        <w:spacing w:after="60"/>
        <w:jc w:val="left"/>
      </w:pPr>
      <w:r>
        <w:rPr>
          <w:b/>
          <w:bCs/>
        </w:rPr>
        <w:t xml:space="preserve">Revisar el peor mes</w:t>
      </w:r>
      <w:r>
        <w:t xml:space="preserve">: si en el peor mes la capacidad residual es negativa, deben evaluarse condiciones (plazo, monto, reserva de liquidez).</w:t>
      </w:r>
    </w:p>
    <w:p>
      <w:pPr>
        <w:keepNext w:val="false"/>
        <w:spacing w:after="120" w:before="0"/>
        <w:jc w:val="both"/>
      </w:pPr>
      <w:r>
        <w:t xml:space="preserve">El Caso 2 del Capítulo 16 desarrolla un ejemplo completo con 12 meses de ingresos.</w:t>
      </w:r>
    </w:p>
    <w:p>
      <w:pPr>
        <w:pStyle w:val="Heading2"/>
        <w:keepNext/>
      </w:pPr>
      <w:r>
        <w:t xml:space="preserve">4.6 Análisis de sensibilidad y escenarios adversos</w:t>
      </w:r>
    </w:p>
    <w:p>
      <w:pPr>
        <w:keepNext w:val="false"/>
        <w:spacing w:after="120" w:before="0"/>
        <w:jc w:val="both"/>
      </w:pPr>
      <w:r>
        <w:t xml:space="preserve">El análisis de sensibilidad consiste en </w:t>
      </w:r>
      <w:r>
        <w:rPr>
          <w:b/>
          <w:bCs/>
        </w:rPr>
        <w:t xml:space="preserve">repetir el cálculo cambiando uno o varios supuestos</w:t>
      </w:r>
      <w:r>
        <w:t xml:space="preserve"> para comprobar si el crédito sigue siendo pagable si las condiciones empeoran. No predice el futuro: muestra la </w:t>
      </w:r>
      <w:r>
        <w:rPr>
          <w:b/>
          <w:bCs/>
        </w:rPr>
        <w:t xml:space="preserve">fragilidad</w:t>
      </w:r>
      <w:r>
        <w:t xml:space="preserve"> de la operación.</w:t>
      </w:r>
    </w:p>
    <w:p>
      <w:pPr>
        <w:keepNext/>
        <w:spacing w:after="60" w:before="120"/>
      </w:pPr>
      <w:r>
        <w:rPr>
          <w:b/>
          <w:bCs/>
          <w:color w:val="1F3864"/>
          <w:sz w:val="19"/>
          <w:szCs w:val="19"/>
        </w:rPr>
        <w:t xml:space="preserve">Tabla 4.3. Escenarios adversos sugeridos (supuestos orientativos)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556"/>
        <w:gridCol w:w="3745"/>
      </w:tblGrid>
      <w:tr>
        <w:trPr>
          <w:cantSplit/>
          <w:tblHeader/>
        </w:trPr>
        <w:tc>
          <w:tcPr>
            <w:tcW w:type="dxa" w:w="205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Escenario</w:t>
            </w:r>
          </w:p>
        </w:tc>
        <w:tc>
          <w:tcPr>
            <w:tcW w:type="dxa" w:w="355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Supuesto</w:t>
            </w:r>
          </w:p>
        </w:tc>
        <w:tc>
          <w:tcPr>
            <w:tcW w:type="dxa" w:w="3745"/>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Aplicación típica</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Caída de ingresos</w:t>
            </w:r>
          </w:p>
        </w:tc>
        <w:tc>
          <w:tcPr>
            <w:tcW w:type="dxa" w:w="355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Ingreso neto −10 % a −20 %</w:t>
            </w:r>
          </w:p>
        </w:tc>
        <w:tc>
          <w:tcPr>
            <w:tcW w:type="dxa" w:w="374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Asalariados con horas extra; negocios estacionales.</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Aumento de gastos</w:t>
            </w:r>
          </w:p>
        </w:tc>
        <w:tc>
          <w:tcPr>
            <w:tcW w:type="dxa" w:w="355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Gastos esenciales +10 % a +15 %</w:t>
            </w:r>
          </w:p>
        </w:tc>
        <w:tc>
          <w:tcPr>
            <w:tcW w:type="dxa" w:w="374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Hogares con dependientes; inflación de alimentos o servicios.</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Pérdida de una fuente</w:t>
            </w:r>
          </w:p>
        </w:tc>
        <w:tc>
          <w:tcPr>
            <w:tcW w:type="dxa" w:w="355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Eliminar la fuente menos estable</w:t>
            </w:r>
          </w:p>
        </w:tc>
        <w:tc>
          <w:tcPr>
            <w:tcW w:type="dxa" w:w="374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Personas con remesas o alquileres.</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Aumento de tasa</w:t>
            </w:r>
          </w:p>
        </w:tc>
        <w:tc>
          <w:tcPr>
            <w:tcW w:type="dxa" w:w="355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Tasa +2 a +4 puntos porcentuales</w:t>
            </w:r>
          </w:p>
        </w:tc>
        <w:tc>
          <w:tcPr>
            <w:tcW w:type="dxa" w:w="374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Créditos con tasa variable.</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Caída de ventas</w:t>
            </w:r>
          </w:p>
        </w:tc>
        <w:tc>
          <w:tcPr>
            <w:tcW w:type="dxa" w:w="355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Ventas −10 % a −15 % con costos fijos constantes</w:t>
            </w:r>
          </w:p>
        </w:tc>
        <w:tc>
          <w:tcPr>
            <w:tcW w:type="dxa" w:w="374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Negocios y empresas.</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Combinado</w:t>
            </w:r>
          </w:p>
        </w:tc>
        <w:tc>
          <w:tcPr>
            <w:tcW w:type="dxa" w:w="355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Dos o más supuestos a la vez</w:t>
            </w:r>
          </w:p>
        </w:tc>
        <w:tc>
          <w:tcPr>
            <w:tcW w:type="dxa" w:w="374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Operaciones de mayor monto o riesgo.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2E75B6" w:sz="4"/>
              <w:left w:val="single" w:color="2E75B6" w:sz="24"/>
              <w:bottom w:val="single" w:color="2E75B6" w:sz="4"/>
              <w:right w:val="single" w:color="2E75B6" w:sz="4"/>
            </w:tcBorders>
            <w:shd w:fill="F2F7FC" w:color="auto" w:val="clear"/>
            <w:tcMar>
              <w:top w:type="dxa" w:w="100"/>
              <w:left w:type="dxa" w:w="180"/>
              <w:bottom w:type="dxa" w:w="100"/>
              <w:right w:type="dxa" w:w="180"/>
            </w:tcMar>
          </w:tcPr>
          <w:p>
            <w:pPr>
              <w:spacing w:after="60"/>
            </w:pPr>
            <w:r>
              <w:rPr>
                <w:b/>
                <w:bCs/>
                <w:color w:val="2E75B6"/>
                <w:sz w:val="20"/>
                <w:szCs w:val="20"/>
              </w:rPr>
              <w:t xml:space="preserve">Ejemplo (datos ficticios) — escenario adverso combinado</w:t>
            </w:r>
          </w:p>
          <w:p>
            <w:pPr>
              <w:spacing w:after="50"/>
              <w:jc w:val="left"/>
            </w:pPr>
            <w:r>
              <w:rPr>
                <w:sz w:val="20"/>
                <w:szCs w:val="20"/>
              </w:rPr>
              <w:t xml:space="preserve">Base: ingreso neto US$1,195; gastos US$520; tarjeta US$60; nueva cuota US$170.04; capacidad residual US$444.96.</w:t>
            </w:r>
          </w:p>
          <w:p>
            <w:pPr>
              <w:spacing w:after="50"/>
              <w:jc w:val="left"/>
            </w:pPr>
            <w:r>
              <w:rPr>
                <w:sz w:val="20"/>
                <w:szCs w:val="20"/>
              </w:rPr>
              <w:t xml:space="preserve">Escenario: ingreso −10 % → 1,195 × 0.90 = US$1,075.50; gastos +10 % → 520 × 1.10 = US$572.00.</w:t>
            </w:r>
          </w:p>
          <w:p>
            <w:pPr>
              <w:spacing w:after="50"/>
              <w:jc w:val="left"/>
            </w:pPr>
            <w:r>
              <w:rPr>
                <w:sz w:val="20"/>
                <w:szCs w:val="20"/>
              </w:rPr>
              <w:t xml:space="preserve">Capacidad residual adversa: 1,075.50 − 572.00 − 60.00 − 170.04 = </w:t>
            </w:r>
            <w:r>
              <w:rPr>
                <w:b/>
                <w:bCs/>
                <w:sz w:val="20"/>
                <w:szCs w:val="20"/>
              </w:rPr>
              <w:t xml:space="preserve">US$273.46</w:t>
            </w:r>
            <w:r>
              <w:rPr>
                <w:sz w:val="20"/>
                <w:szCs w:val="20"/>
              </w:rPr>
              <w:t xml:space="preserve">.</w:t>
            </w:r>
          </w:p>
          <w:p>
            <w:pPr>
              <w:spacing w:after="50"/>
              <w:jc w:val="left"/>
            </w:pPr>
            <w:r>
              <w:rPr>
                <w:sz w:val="20"/>
                <w:szCs w:val="20"/>
              </w:rPr>
              <w:t xml:space="preserve">Relación deuda-ingreso adversa: 230.04 ÷ 1,075.50 × 100 = </w:t>
            </w:r>
            <w:r>
              <w:rPr>
                <w:b/>
                <w:bCs/>
                <w:sz w:val="20"/>
                <w:szCs w:val="20"/>
              </w:rPr>
              <w:t xml:space="preserve">21.39 %</w:t>
            </w:r>
            <w:r>
              <w:rPr>
                <w:sz w:val="20"/>
                <w:szCs w:val="20"/>
              </w:rPr>
              <w:t xml:space="preserve">.</w:t>
            </w:r>
          </w:p>
          <w:p>
            <w:pPr>
              <w:spacing w:after="50"/>
              <w:jc w:val="left"/>
            </w:pPr>
            <w:r>
              <w:rPr>
                <w:b/>
                <w:bCs/>
                <w:sz w:val="20"/>
                <w:szCs w:val="20"/>
              </w:rPr>
              <w:t xml:space="preserve">Interpretación:</w:t>
            </w:r>
            <w:r>
              <w:rPr>
                <w:sz w:val="20"/>
                <w:szCs w:val="20"/>
              </w:rPr>
              <w:t xml:space="preserve"> aun en el escenario adverso, la capacidad residual se mantiene positiva y holgada. La operación es resistente.</w:t>
            </w:r>
          </w:p>
        </w:tc>
      </w:tr>
    </w:tbl>
    <w:p>
      <w:pPr>
        <w:spacing w:after="120"/>
      </w:pPr>
    </w:p>
    <w:p>
      <w:pPr>
        <w:pStyle w:val="Heading2"/>
        <w:keepNext/>
      </w:pPr>
      <w:r>
        <w:t xml:space="preserve">4.7 Adaptación de las fórmulas al tipo de solicitante</w:t>
      </w:r>
    </w:p>
    <w:p>
      <w:pPr>
        <w:keepNext/>
        <w:spacing w:after="60" w:before="120"/>
      </w:pPr>
      <w:r>
        <w:rPr>
          <w:b/>
          <w:bCs/>
          <w:color w:val="1F3864"/>
          <w:sz w:val="19"/>
          <w:szCs w:val="19"/>
        </w:rPr>
        <w:t xml:space="preserve">Tabla 4.4. Adaptación metodológica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4"/>
        <w:gridCol w:w="2995"/>
        <w:gridCol w:w="2340"/>
        <w:gridCol w:w="2341"/>
      </w:tblGrid>
      <w:tr>
        <w:trPr>
          <w:cantSplit/>
          <w:tblHeader/>
        </w:trPr>
        <w:tc>
          <w:tcPr>
            <w:tcW w:type="dxa" w:w="1684"/>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Tipo de solicitante</w:t>
            </w:r>
          </w:p>
        </w:tc>
        <w:tc>
          <w:tcPr>
            <w:tcW w:type="dxa" w:w="2995"/>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Base de ingreso recomendada</w:t>
            </w:r>
          </w:p>
        </w:tc>
        <w:tc>
          <w:tcPr>
            <w:tcW w:type="dxa" w:w="234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Indicador principal</w:t>
            </w:r>
          </w:p>
        </w:tc>
        <w:tc>
          <w:tcPr>
            <w:tcW w:type="dxa" w:w="2341"/>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Ajuste típico</w:t>
            </w:r>
          </w:p>
        </w:tc>
      </w:tr>
      <w:tr>
        <w:trPr>
          <w:cantSplit/>
        </w:trPr>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Asalariado</w:t>
            </w:r>
          </w:p>
        </w:tc>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Ingreso neto según boleta, verificado con abonos.</w:t>
            </w:r>
          </w:p>
        </w:tc>
        <w:tc>
          <w:tcPr>
            <w:tcW w:type="dxa" w:w="23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Capacidad residual y relación deuda-ingreso.</w:t>
            </w:r>
          </w:p>
        </w:tc>
        <w:tc>
          <w:tcPr>
            <w:tcW w:type="dxa" w:w="234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Excluir horas extra no recurrentes.</w:t>
            </w:r>
          </w:p>
        </w:tc>
      </w:tr>
      <w:tr>
        <w:trPr>
          <w:cantSplit/>
        </w:trPr>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Independiente</w:t>
            </w:r>
          </w:p>
        </w:tc>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Ingresos netos de gastos de la actividad e impuestos, base conservadora.</w:t>
            </w:r>
          </w:p>
        </w:tc>
        <w:tc>
          <w:tcPr>
            <w:tcW w:type="dxa" w:w="23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Capacidad residual; peor mes.</w:t>
            </w:r>
          </w:p>
        </w:tc>
        <w:tc>
          <w:tcPr>
            <w:tcW w:type="dxa" w:w="234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Coeficiente de variación; meses bajos.</w:t>
            </w:r>
          </w:p>
        </w:tc>
      </w:tr>
      <w:tr>
        <w:trPr>
          <w:cantSplit/>
        </w:trPr>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Comerciante</w:t>
            </w:r>
          </w:p>
        </w:tc>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Flujo de efectivo del negocio menos retiro familiar.</w:t>
            </w:r>
          </w:p>
        </w:tc>
        <w:tc>
          <w:tcPr>
            <w:tcW w:type="dxa" w:w="23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Cobertura del servicio de la deuda.</w:t>
            </w:r>
          </w:p>
        </w:tc>
        <w:tc>
          <w:tcPr>
            <w:tcW w:type="dxa" w:w="234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Estacionalidad y ciclo de inventarios.</w:t>
            </w:r>
          </w:p>
        </w:tc>
      </w:tr>
      <w:tr>
        <w:trPr>
          <w:cantSplit/>
        </w:trPr>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Varias fuentes</w:t>
            </w:r>
          </w:p>
        </w:tc>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Suma de fuentes verificadas, cada una ponderada por su estabilidad.</w:t>
            </w:r>
          </w:p>
        </w:tc>
        <w:tc>
          <w:tcPr>
            <w:tcW w:type="dxa" w:w="23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Capacidad residual sin la fuente más débil.</w:t>
            </w:r>
          </w:p>
        </w:tc>
        <w:tc>
          <w:tcPr>
            <w:tcW w:type="dxa" w:w="234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Excluir fuentes no verificables.</w:t>
            </w:r>
          </w:p>
        </w:tc>
      </w:tr>
      <w:tr>
        <w:trPr>
          <w:cantSplit/>
        </w:trPr>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Persona jurídica</w:t>
            </w:r>
          </w:p>
        </w:tc>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Flujo de caja operativo proyectado y histórico.</w:t>
            </w:r>
          </w:p>
        </w:tc>
        <w:tc>
          <w:tcPr>
            <w:tcW w:type="dxa" w:w="23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Cobertura del servicio de la deuda; apalancamiento.</w:t>
            </w:r>
          </w:p>
        </w:tc>
        <w:tc>
          <w:tcPr>
            <w:tcW w:type="dxa" w:w="234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Proyecciones con supuestos documentados.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77C02" w:sz="4"/>
              <w:left w:val="single" w:color="C77C02" w:sz="24"/>
              <w:bottom w:val="single" w:color="C77C02" w:sz="4"/>
              <w:right w:val="single" w:color="C77C02" w:sz="4"/>
            </w:tcBorders>
            <w:shd w:fill="FFF4E0" w:color="auto" w:val="clear"/>
            <w:tcMar>
              <w:top w:type="dxa" w:w="100"/>
              <w:left w:type="dxa" w:w="180"/>
              <w:bottom w:type="dxa" w:w="100"/>
              <w:right w:type="dxa" w:w="180"/>
            </w:tcMar>
          </w:tcPr>
          <w:p>
            <w:pPr>
              <w:spacing w:after="60"/>
            </w:pPr>
            <w:r>
              <w:rPr>
                <w:b/>
                <w:bCs/>
                <w:color w:val="C77C02"/>
                <w:sz w:val="20"/>
                <w:szCs w:val="20"/>
              </w:rPr>
              <w:t xml:space="preserve">Nota metodológica</w:t>
            </w:r>
          </w:p>
          <w:p>
            <w:pPr>
              <w:spacing w:after="50"/>
              <w:jc w:val="left"/>
            </w:pPr>
            <w:r>
              <w:rPr>
                <w:sz w:val="20"/>
                <w:szCs w:val="20"/>
              </w:rPr>
              <w:t xml:space="preserve">Las fórmulas de esta guía deben </w:t>
            </w:r>
            <w:r>
              <w:rPr>
                <w:b/>
                <w:bCs/>
                <w:sz w:val="20"/>
                <w:szCs w:val="20"/>
              </w:rPr>
              <w:t xml:space="preserve">adaptarse a la metodología aprobada por cada institución</w:t>
            </w:r>
            <w:r>
              <w:rPr>
                <w:sz w:val="20"/>
                <w:szCs w:val="20"/>
              </w:rPr>
              <w:t xml:space="preserve">: qué ingresos se aceptan, qué gastos mínimos se aplican, cómo se trata la cuota de tarjetas de crédito (pago mínimo, porcentaje del saldo o del límite) y qué márgenes se exigen.</w:t>
            </w:r>
          </w:p>
        </w:tc>
      </w:tr>
    </w:tbl>
    <w:p>
      <w:pPr>
        <w:spacing w:after="120"/>
      </w:pPr>
    </w:p>
    <w:p>
      <w:pPr>
        <w:pStyle w:val="Heading1"/>
        <w:pageBreakBefore/>
      </w:pPr>
      <w:r>
        <w:t xml:space="preserve">Capítulo 5. Revisión del historial crediticio</w:t>
      </w:r>
    </w:p>
    <w:p>
      <w:pPr>
        <w:keepNext w:val="false"/>
        <w:spacing w:after="120" w:before="0"/>
        <w:jc w:val="both"/>
      </w:pPr>
      <w:r>
        <w:rPr>
          <w:i/>
          <w:iCs/>
        </w:rPr>
        <w:t xml:space="preserve">Desarrolla el apartado original 5: «Revisión del historial crediticio del prestatario».</w:t>
      </w:r>
    </w:p>
    <w:p>
      <w:pPr>
        <w:pStyle w:val="Heading2"/>
        <w:keepNext/>
      </w:pPr>
      <w:r>
        <w:t xml:space="preserve">5.1 Qué es el historial crediticio y para qué sirve</w:t>
      </w:r>
    </w:p>
    <w:p>
      <w:pPr>
        <w:keepNext w:val="false"/>
        <w:spacing w:after="120" w:before="0"/>
        <w:jc w:val="both"/>
      </w:pPr>
      <w:r>
        <w:t xml:space="preserve">El historial crediticio es el </w:t>
      </w:r>
      <w:r>
        <w:rPr>
          <w:b/>
          <w:bCs/>
        </w:rPr>
        <w:t xml:space="preserve">registro del comportamiento de pago</w:t>
      </w:r>
      <w:r>
        <w:t xml:space="preserve"> de una persona o empresa con sus acreedores: qué deudas ha tenido, cuánto debe, si ha pagado puntualmente, si ha caído en mora y cómo se resolvieron sus atrasos. Es la principal evidencia de la </w:t>
      </w:r>
      <w:r>
        <w:rPr>
          <w:b/>
          <w:bCs/>
        </w:rPr>
        <w:t xml:space="preserve">voluntad de pago</w:t>
      </w:r>
      <w:r>
        <w:t xml:space="preserve"> y complementa el análisis de capacidad.</w:t>
      </w:r>
    </w:p>
    <w:p>
      <w:pPr>
        <w:keepNext w:val="false"/>
        <w:spacing w:after="120" w:before="0"/>
        <w:jc w:val="both"/>
      </w:pPr>
      <w:r>
        <w:t xml:space="preserve">En El Salvador esta información puede provenir de fuentes distintas, cada una con su propio régimen: los sistemas de consulta de información crediticia administrados por la autoridad supervisora para las entidades autorizadas, las </w:t>
      </w:r>
      <w:r>
        <w:rPr>
          <w:b/>
          <w:bCs/>
        </w:rPr>
        <w:t xml:space="preserve">agencias de información de datos</w:t>
      </w:r>
      <w:r>
        <w:t xml:space="preserve"> reguladas por la Ley de Regulación de los Servicios de Información sobre el Historial de Crédito de las Personas, y la propia base de datos de la institución.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2E7D32" w:sz="4"/>
              <w:left w:val="single" w:color="2E7D32" w:sz="24"/>
              <w:bottom w:val="single" w:color="2E7D32" w:sz="4"/>
              <w:right w:val="single" w:color="2E7D32" w:sz="4"/>
            </w:tcBorders>
            <w:shd w:fill="E8F5E9" w:color="auto" w:val="clear"/>
            <w:tcMar>
              <w:top w:type="dxa" w:w="100"/>
              <w:left w:type="dxa" w:w="180"/>
              <w:bottom w:type="dxa" w:w="100"/>
              <w:right w:type="dxa" w:w="180"/>
            </w:tcMar>
          </w:tcPr>
          <w:p>
            <w:pPr>
              <w:spacing w:after="60"/>
            </w:pPr>
            <w:r>
              <w:rPr>
                <w:b/>
                <w:bCs/>
                <w:color w:val="2E7D32"/>
                <w:sz w:val="20"/>
                <w:szCs w:val="20"/>
              </w:rPr>
              <w:t xml:space="preserve">Referencia normativa</w:t>
            </w:r>
          </w:p>
          <w:p>
            <w:pPr>
              <w:spacing w:after="50"/>
              <w:jc w:val="left"/>
            </w:pPr>
            <w:r>
              <w:rPr>
                <w:sz w:val="20"/>
                <w:szCs w:val="20"/>
              </w:rPr>
              <w:t xml:space="preserve">La Ley de Regulación de los Servicios de Información sobre el Historial de Crédito de las Personas (D.L. No. 695, reformada por D.L. No. 128 de 2021) tiene por objeto garantizar el derecho al honor, la intimidad personal y familiar y la propia imagen en el manejo de los datos crediticios. Regula a las agencias de información de datos y a los agentes económicos que usan esa información, y reconoce al consumidor el derecho a obtener copia de su historial (Arts. 17 y 18).</w:t>
            </w:r>
          </w:p>
          <w:p>
            <w:pPr>
              <w:spacing w:after="50"/>
              <w:jc w:val="left"/>
            </w:pPr>
            <w:r>
              <w:rPr>
                <w:sz w:val="20"/>
                <w:szCs w:val="20"/>
              </w:rPr>
              <w:t xml:space="preserve">La Ley para la Protección de Datos Personales (D.L. No. 144, 2024) establece principios y derechos sobre el tratamiento de datos personales. Su articulación con la ley de historial de crédito debe ser analizada por la asesoría legal de cada institución.</w:t>
            </w:r>
          </w:p>
        </w:tc>
      </w:tr>
    </w:tbl>
    <w:p>
      <w:pPr>
        <w:spacing w:after="120"/>
      </w:pPr>
    </w:p>
    <w:p>
      <w:pPr>
        <w:pStyle w:val="Heading2"/>
        <w:keepNext/>
      </w:pPr>
      <w:r>
        <w:t xml:space="preserve">5.2 Verificaciones permitidas y uso responsable</w:t>
      </w:r>
    </w:p>
    <w:p>
      <w:pPr>
        <w:pStyle w:val="ListParagraph"/>
        <w:numPr>
          <w:ilvl w:val="0"/>
          <w:numId w:val="12"/>
        </w:numPr>
        <w:spacing w:after="60"/>
        <w:jc w:val="left"/>
      </w:pPr>
      <w:r>
        <w:rPr>
          <w:b/>
          <w:bCs/>
        </w:rPr>
        <w:t xml:space="preserve">Autorización previa:</w:t>
      </w:r>
      <w:r>
        <w:t xml:space="preserve"> obtener la autorización del solicitante para consultar su historial, en el formato y con el alcance que determine la ley aplicable y la política institucional. Conservar la evidencia de la autorización.</w:t>
      </w:r>
    </w:p>
    <w:p>
      <w:pPr>
        <w:pStyle w:val="ListParagraph"/>
        <w:numPr>
          <w:ilvl w:val="0"/>
          <w:numId w:val="12"/>
        </w:numPr>
        <w:spacing w:after="60"/>
        <w:jc w:val="left"/>
      </w:pPr>
      <w:r>
        <w:rPr>
          <w:b/>
          <w:bCs/>
        </w:rPr>
        <w:t xml:space="preserve">Finalidad:</w:t>
      </w:r>
      <w:r>
        <w:t xml:space="preserve"> usar la información únicamente para evaluar la solicitud y administrar el crédito, no para fines distintos.</w:t>
      </w:r>
    </w:p>
    <w:p>
      <w:pPr>
        <w:pStyle w:val="ListParagraph"/>
        <w:numPr>
          <w:ilvl w:val="0"/>
          <w:numId w:val="12"/>
        </w:numPr>
        <w:spacing w:after="60"/>
        <w:jc w:val="left"/>
      </w:pPr>
      <w:r>
        <w:rPr>
          <w:b/>
          <w:bCs/>
        </w:rPr>
        <w:t xml:space="preserve">Acceso restringido:</w:t>
      </w:r>
      <w:r>
        <w:t xml:space="preserve"> solo el personal autorizado consulta; las consultas quedan registradas.</w:t>
      </w:r>
    </w:p>
    <w:p>
      <w:pPr>
        <w:pStyle w:val="ListParagraph"/>
        <w:numPr>
          <w:ilvl w:val="0"/>
          <w:numId w:val="12"/>
        </w:numPr>
        <w:spacing w:after="60"/>
        <w:jc w:val="left"/>
      </w:pPr>
      <w:r>
        <w:rPr>
          <w:b/>
          <w:bCs/>
        </w:rPr>
        <w:t xml:space="preserve">Exactitud:</w:t>
      </w:r>
      <w:r>
        <w:t xml:space="preserve"> si el cliente objeta un dato, orientarlo sobre su derecho a solicitar la rectificación ante la fuente correspondiente; no decidir exclusivamente con un dato en disputa sin analizarlo.</w:t>
      </w:r>
    </w:p>
    <w:p>
      <w:pPr>
        <w:pStyle w:val="ListParagraph"/>
        <w:numPr>
          <w:ilvl w:val="0"/>
          <w:numId w:val="12"/>
        </w:numPr>
        <w:spacing w:after="60"/>
        <w:jc w:val="left"/>
      </w:pPr>
      <w:r>
        <w:rPr>
          <w:b/>
          <w:bCs/>
        </w:rPr>
        <w:t xml:space="preserve">Confidencialidad:</w:t>
      </w:r>
      <w:r>
        <w:t xml:space="preserve"> no compartir el reporte con terceros no autorizados ni dejarlo expuesto en expedientes físicos o digitales sin control.</w:t>
      </w:r>
    </w:p>
    <w:p>
      <w:pPr>
        <w:pStyle w:val="ListParagraph"/>
        <w:numPr>
          <w:ilvl w:val="0"/>
          <w:numId w:val="12"/>
        </w:numPr>
        <w:spacing w:after="60"/>
        <w:jc w:val="left"/>
      </w:pPr>
      <w:r>
        <w:rPr>
          <w:b/>
          <w:bCs/>
        </w:rPr>
        <w:t xml:space="preserve">Conservación:</w:t>
      </w:r>
      <w:r>
        <w:t xml:space="preserve"> mantener la evidencia de consulta según la política documental y la normativa aplicable.</w:t>
      </w:r>
    </w:p>
    <w:p>
      <w:pPr>
        <w:pStyle w:val="Heading2"/>
        <w:keepNext/>
      </w:pPr>
      <w:r>
        <w:t xml:space="preserve">5.3 Qué analizar en el historial</w:t>
      </w:r>
    </w:p>
    <w:p>
      <w:pPr>
        <w:keepNext/>
        <w:spacing w:after="60" w:before="120"/>
      </w:pPr>
      <w:r>
        <w:rPr>
          <w:b/>
          <w:bCs/>
          <w:color w:val="1F3864"/>
          <w:sz w:val="19"/>
          <w:szCs w:val="19"/>
        </w:rPr>
        <w:t xml:space="preserve">Tabla 5.1. Elementos del historial crediticio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556"/>
        <w:gridCol w:w="3745"/>
      </w:tblGrid>
      <w:tr>
        <w:trPr>
          <w:cantSplit/>
          <w:tblHeader/>
        </w:trPr>
        <w:tc>
          <w:tcPr>
            <w:tcW w:type="dxa" w:w="205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Elemento</w:t>
            </w:r>
          </w:p>
        </w:tc>
        <w:tc>
          <w:tcPr>
            <w:tcW w:type="dxa" w:w="355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Qué observar</w:t>
            </w:r>
          </w:p>
        </w:tc>
        <w:tc>
          <w:tcPr>
            <w:tcW w:type="dxa" w:w="3745"/>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Interpretación prudente</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Historial de pagos</w:t>
            </w:r>
          </w:p>
        </w:tc>
        <w:tc>
          <w:tcPr>
            <w:tcW w:type="dxa" w:w="355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Puntualidad en los últimos 12 a 24 meses; frecuencia y duración de atrasos.</w:t>
            </w:r>
          </w:p>
        </w:tc>
        <w:tc>
          <w:tcPr>
            <w:tcW w:type="dxa" w:w="374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Atrasos breves y aislados no equivalen a atrasos recurrentes; la tendencia reciente pesa más.</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Obligaciones vigentes</w:t>
            </w:r>
          </w:p>
        </w:tc>
        <w:tc>
          <w:tcPr>
            <w:tcW w:type="dxa" w:w="355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Número de acreedores, tipo de crédito, cuotas y saldos.</w:t>
            </w:r>
          </w:p>
        </w:tc>
        <w:tc>
          <w:tcPr>
            <w:tcW w:type="dxa" w:w="374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Cruzar con lo declarado; diferencias indican omisión de deudas.</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Saldos pendientes</w:t>
            </w:r>
          </w:p>
        </w:tc>
        <w:tc>
          <w:tcPr>
            <w:tcW w:type="dxa" w:w="355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Monto total adeudado y uso de líneas de crédito.</w:t>
            </w:r>
          </w:p>
        </w:tc>
        <w:tc>
          <w:tcPr>
            <w:tcW w:type="dxa" w:w="374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Un uso cercano al límite en tarjetas puede indicar presión de liquidez.</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Mora</w:t>
            </w:r>
          </w:p>
        </w:tc>
        <w:tc>
          <w:tcPr>
            <w:tcW w:type="dxa" w:w="355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Días de atraso y categoría de riesgo reportada.</w:t>
            </w:r>
          </w:p>
        </w:tc>
        <w:tc>
          <w:tcPr>
            <w:tcW w:type="dxa" w:w="374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Mora vigente al momento de la solicitud requiere explicación y, según política, puede impedir la aprobación.</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Incumplimientos</w:t>
            </w:r>
          </w:p>
        </w:tc>
        <w:tc>
          <w:tcPr>
            <w:tcW w:type="dxa" w:w="355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Créditos castigados, en cobro judicial o saneados.</w:t>
            </w:r>
          </w:p>
        </w:tc>
        <w:tc>
          <w:tcPr>
            <w:tcW w:type="dxa" w:w="374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Señal grave de voluntad o capacidad; requiere análisis especializado.</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Refinanciamientos y reestructuraciones</w:t>
            </w:r>
          </w:p>
        </w:tc>
        <w:tc>
          <w:tcPr>
            <w:tcW w:type="dxa" w:w="355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Frecuencia y motivo de las modificaciones de condiciones.</w:t>
            </w:r>
          </w:p>
        </w:tc>
        <w:tc>
          <w:tcPr>
            <w:tcW w:type="dxa" w:w="374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Reestructuraciones repetidas sugieren dificultades persistentes.</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Garantías comprometidas</w:t>
            </w:r>
          </w:p>
        </w:tc>
        <w:tc>
          <w:tcPr>
            <w:tcW w:type="dxa" w:w="355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Fianzas otorgadas a terceros, bienes ya gravados.</w:t>
            </w:r>
          </w:p>
        </w:tc>
        <w:tc>
          <w:tcPr>
            <w:tcW w:type="dxa" w:w="374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Las fianzas son deudas contingentes: si el deudor principal falla, el fiador paga.</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Consultas recientes</w:t>
            </w:r>
          </w:p>
        </w:tc>
        <w:tc>
          <w:tcPr>
            <w:tcW w:type="dxa" w:w="355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Número de consultas de otros acreedores en poco tiempo.</w:t>
            </w:r>
          </w:p>
        </w:tc>
        <w:tc>
          <w:tcPr>
            <w:tcW w:type="dxa" w:w="374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Muchas consultas pueden indicar búsqueda simultánea de crédito.</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Información contradictoria</w:t>
            </w:r>
          </w:p>
        </w:tc>
        <w:tc>
          <w:tcPr>
            <w:tcW w:type="dxa" w:w="355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Datos distintos entre fuentes o con lo declarado.</w:t>
            </w:r>
          </w:p>
        </w:tc>
        <w:tc>
          <w:tcPr>
            <w:tcW w:type="dxa" w:w="374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Aclarar antes de decidir; documentar la explicación.</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Ausencia de historial</w:t>
            </w:r>
          </w:p>
        </w:tc>
        <w:tc>
          <w:tcPr>
            <w:tcW w:type="dxa" w:w="355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Personas jóvenes, migrantes retornados, trabajadores informales.</w:t>
            </w:r>
          </w:p>
        </w:tc>
        <w:tc>
          <w:tcPr>
            <w:tcW w:type="dxa" w:w="374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No equivale a mal historial; requiere evidencias alternativas (pago de servicios, alquiler, ahorro).</w:t>
            </w:r>
          </w:p>
        </w:tc>
      </w:tr>
    </w:tbl>
    <w:p>
      <w:pPr>
        <w:spacing w:after="120"/>
      </w:pPr>
    </w:p>
    <w:p>
      <w:pPr>
        <w:pStyle w:val="Heading2"/>
        <w:keepNext/>
      </w:pPr>
      <w:r>
        <w:t xml:space="preserve">5.4 Puntuación crediticia frente a evaluación integral</w:t>
      </w:r>
    </w:p>
    <w:p>
      <w:pPr>
        <w:keepNext w:val="false"/>
        <w:spacing w:after="120" w:before="0"/>
        <w:jc w:val="both"/>
      </w:pPr>
      <w:r>
        <w:t xml:space="preserve">Algunas fuentes ofrecen una </w:t>
      </w:r>
      <w:r>
        <w:rPr>
          <w:b/>
          <w:bCs/>
        </w:rPr>
        <w:t xml:space="preserve">puntuación</w:t>
      </w:r>
      <w:r>
        <w:t xml:space="preserve"> (score) que resume estadísticamente la probabilidad de incumplimiento. Es una herramienta útil, pero </w:t>
      </w:r>
      <w:r>
        <w:rPr>
          <w:b/>
          <w:bCs/>
        </w:rPr>
        <w:t xml:space="preserve">no sustituye</w:t>
      </w:r>
      <w:r>
        <w:t xml:space="preserve"> la evaluación integral: no conoce el monto ni la cuota solicitada, no verifica ingresos y puede basarse en información con rezago. Una buena puntuación con capacidad residual negativa sigue siendo una mala operación.</w:t>
      </w:r>
    </w:p>
    <w:p>
      <w:pPr>
        <w:pStyle w:val="Heading2"/>
        <w:keepNext/>
      </w:pPr>
      <w:r>
        <w:t xml:space="preserve">5.5 Señales de alerta</w:t>
      </w:r>
    </w:p>
    <w:p>
      <w:pPr>
        <w:pStyle w:val="ListParagraph"/>
        <w:numPr>
          <w:ilvl w:val="0"/>
          <w:numId w:val="13"/>
        </w:numPr>
        <w:spacing w:after="60"/>
        <w:jc w:val="left"/>
      </w:pPr>
      <w:r>
        <w:t xml:space="preserve">Mora vigente o atrasos recurrentes en los últimos 12 meses.</w:t>
      </w:r>
    </w:p>
    <w:p>
      <w:pPr>
        <w:pStyle w:val="ListParagraph"/>
        <w:numPr>
          <w:ilvl w:val="0"/>
          <w:numId w:val="13"/>
        </w:numPr>
        <w:spacing w:after="60"/>
        <w:jc w:val="left"/>
      </w:pPr>
      <w:r>
        <w:t xml:space="preserve">Deudas en el reporte que el solicitante no declaró.</w:t>
      </w:r>
    </w:p>
    <w:p>
      <w:pPr>
        <w:pStyle w:val="ListParagraph"/>
        <w:numPr>
          <w:ilvl w:val="0"/>
          <w:numId w:val="13"/>
        </w:numPr>
        <w:spacing w:after="60"/>
        <w:jc w:val="left"/>
      </w:pPr>
      <w:r>
        <w:t xml:space="preserve">Reestructuraciones o refinanciamientos sucesivos con distintos acreedores.</w:t>
      </w:r>
    </w:p>
    <w:p>
      <w:pPr>
        <w:pStyle w:val="ListParagraph"/>
        <w:numPr>
          <w:ilvl w:val="0"/>
          <w:numId w:val="13"/>
        </w:numPr>
        <w:spacing w:after="60"/>
        <w:jc w:val="left"/>
      </w:pPr>
      <w:r>
        <w:t xml:space="preserve">Créditos recién otorgados por otras instituciones poco antes de la solicitud.</w:t>
      </w:r>
    </w:p>
    <w:p>
      <w:pPr>
        <w:pStyle w:val="ListParagraph"/>
        <w:numPr>
          <w:ilvl w:val="0"/>
          <w:numId w:val="13"/>
        </w:numPr>
        <w:spacing w:after="60"/>
        <w:jc w:val="left"/>
      </w:pPr>
      <w:r>
        <w:t xml:space="preserve">Uso de tarjetas de crédito cercano al límite de forma sostenida.</w:t>
      </w:r>
    </w:p>
    <w:p>
      <w:pPr>
        <w:pStyle w:val="ListParagraph"/>
        <w:numPr>
          <w:ilvl w:val="0"/>
          <w:numId w:val="13"/>
        </w:numPr>
        <w:spacing w:after="60"/>
        <w:jc w:val="left"/>
      </w:pPr>
      <w:r>
        <w:t xml:space="preserve">Fianzas a terceros con atrasos.</w:t>
      </w:r>
    </w:p>
    <w:p>
      <w:pPr>
        <w:pStyle w:val="ListParagraph"/>
        <w:numPr>
          <w:ilvl w:val="0"/>
          <w:numId w:val="13"/>
        </w:numPr>
        <w:spacing w:after="60"/>
        <w:jc w:val="left"/>
      </w:pPr>
      <w:r>
        <w:t xml:space="preserve">Saldos castigados o en cobro judicial, aunque se afirme que «ya se arregló».</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2E75B6" w:sz="4"/>
              <w:left w:val="single" w:color="2E75B6" w:sz="24"/>
              <w:bottom w:val="single" w:color="2E75B6" w:sz="4"/>
              <w:right w:val="single" w:color="2E75B6" w:sz="4"/>
            </w:tcBorders>
            <w:shd w:fill="F2F7FC" w:color="auto" w:val="clear"/>
            <w:tcMar>
              <w:top w:type="dxa" w:w="100"/>
              <w:left w:type="dxa" w:w="180"/>
              <w:bottom w:type="dxa" w:w="100"/>
              <w:right w:type="dxa" w:w="180"/>
            </w:tcMar>
          </w:tcPr>
          <w:p>
            <w:pPr>
              <w:spacing w:after="60"/>
            </w:pPr>
            <w:r>
              <w:rPr>
                <w:b/>
                <w:bCs/>
                <w:color w:val="2E75B6"/>
                <w:sz w:val="20"/>
                <w:szCs w:val="20"/>
              </w:rPr>
              <w:t xml:space="preserve">Ejemplo (datos ficticios) — lectura de un reporte</w:t>
            </w:r>
          </w:p>
          <w:p>
            <w:pPr>
              <w:spacing w:after="50"/>
              <w:jc w:val="left"/>
            </w:pPr>
            <w:r>
              <w:rPr>
                <w:sz w:val="20"/>
                <w:szCs w:val="20"/>
              </w:rPr>
              <w:t xml:space="preserve">Solicitante con 3 créditos vigentes. Dos al día. Una tarjeta con atraso de 15 días hace 8 meses, regularizado. Sin reestructuraciones. Una consulta en los últimos 6 meses.</w:t>
            </w:r>
          </w:p>
          <w:p>
            <w:pPr>
              <w:spacing w:after="50"/>
              <w:jc w:val="left"/>
            </w:pPr>
            <w:r>
              <w:rPr>
                <w:b/>
                <w:bCs/>
                <w:sz w:val="20"/>
                <w:szCs w:val="20"/>
              </w:rPr>
              <w:t xml:space="preserve">Interpretación:</w:t>
            </w:r>
            <w:r>
              <w:rPr>
                <w:sz w:val="20"/>
                <w:szCs w:val="20"/>
              </w:rPr>
              <w:t xml:space="preserve"> comportamiento de pago adecuado; el atraso fue puntual y antiguo. Se documenta, se pregunta la causa y no se considera un riesgo crítico.</w:t>
            </w:r>
          </w:p>
        </w:tc>
      </w:tr>
    </w:tbl>
    <w:p>
      <w:pPr>
        <w:spacing w:after="120"/>
      </w:pPr>
    </w:p>
    <w:p>
      <w:pPr>
        <w:pStyle w:val="Heading1"/>
        <w:pageBreakBefore/>
      </w:pPr>
      <w:r>
        <w:t xml:space="preserve">Capítulo 6. Evaluación de la seguridad y las garantías</w:t>
      </w:r>
    </w:p>
    <w:p>
      <w:pPr>
        <w:keepNext w:val="false"/>
        <w:spacing w:after="120" w:before="0"/>
        <w:jc w:val="both"/>
      </w:pPr>
      <w:r>
        <w:rPr>
          <w:i/>
          <w:iCs/>
        </w:rPr>
        <w:t xml:space="preserve">Desarrolla el apartado original 4: «Evaluación de la seguridad y las garantías».</w:t>
      </w:r>
    </w:p>
    <w:p>
      <w:pPr>
        <w:pStyle w:val="Heading2"/>
        <w:keepNext/>
      </w:pPr>
      <w:r>
        <w:t xml:space="preserve">6.1 Qué es una garantía y cuál es su función</w:t>
      </w:r>
    </w:p>
    <w:p>
      <w:pPr>
        <w:keepNext w:val="false"/>
        <w:spacing w:after="120" w:before="0"/>
        <w:jc w:val="both"/>
      </w:pPr>
      <w:r>
        <w:t xml:space="preserve">Una garantía es un </w:t>
      </w:r>
      <w:r>
        <w:rPr>
          <w:b/>
          <w:bCs/>
        </w:rPr>
        <w:t xml:space="preserve">respaldo adicional</w:t>
      </w:r>
      <w:r>
        <w:t xml:space="preserve"> que la institución puede utilizar para recuperar el dinero si el deudor no paga. Puede ser un bien (una casa, un vehículo, maquinaria, un depósito) o una persona que se compromete a pagar si el deudor no lo hace (fiador o codeudor).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B23B2A" w:sz="4"/>
              <w:left w:val="single" w:color="B23B2A" w:sz="24"/>
              <w:bottom w:val="single" w:color="B23B2A" w:sz="4"/>
              <w:right w:val="single" w:color="B23B2A" w:sz="4"/>
            </w:tcBorders>
            <w:shd w:fill="FBE9E7" w:color="auto" w:val="clear"/>
            <w:tcMar>
              <w:top w:type="dxa" w:w="100"/>
              <w:left w:type="dxa" w:w="180"/>
              <w:bottom w:type="dxa" w:w="100"/>
              <w:right w:type="dxa" w:w="180"/>
            </w:tcMar>
          </w:tcPr>
          <w:p>
            <w:pPr>
              <w:spacing w:after="60"/>
            </w:pPr>
            <w:r>
              <w:rPr>
                <w:b/>
                <w:bCs/>
                <w:color w:val="B23B2A"/>
                <w:sz w:val="20"/>
                <w:szCs w:val="20"/>
              </w:rPr>
              <w:t xml:space="preserve">Principio fundamental</w:t>
            </w:r>
          </w:p>
          <w:p>
            <w:pPr>
              <w:spacing w:after="50"/>
              <w:jc w:val="left"/>
            </w:pPr>
            <w:r>
              <w:rPr>
                <w:b/>
                <w:bCs/>
                <w:sz w:val="20"/>
                <w:szCs w:val="20"/>
              </w:rPr>
              <w:t xml:space="preserve">Principio obligatorio de esta guía:</w:t>
            </w:r>
            <w:r>
              <w:rPr>
                <w:sz w:val="20"/>
                <w:szCs w:val="20"/>
              </w:rPr>
              <w:t xml:space="preserve"> una garantía </w:t>
            </w:r>
            <w:r>
              <w:rPr>
                <w:b/>
                <w:bCs/>
                <w:sz w:val="20"/>
                <w:szCs w:val="20"/>
              </w:rPr>
              <w:t xml:space="preserve">no sustituye la capacidad de pago</w:t>
            </w:r>
            <w:r>
              <w:rPr>
                <w:sz w:val="20"/>
                <w:szCs w:val="20"/>
              </w:rPr>
              <w:t xml:space="preserve"> del solicitante ni elimina el riesgo crediticio. La garantía reduce la pérdida si ocurre el incumplimiento, pero no reduce la probabilidad de que ocurra. Ejecutar una garantía es lento, costoso, incierto y tiene consecuencias graves para el cliente.</w:t>
            </w:r>
          </w:p>
        </w:tc>
      </w:tr>
    </w:tbl>
    <w:p>
      <w:pPr>
        <w:spacing w:after="120"/>
      </w:pPr>
    </w:p>
    <w:p>
      <w:pPr>
        <w:pStyle w:val="Heading2"/>
        <w:keepNext/>
      </w:pPr>
      <w:r>
        <w:t xml:space="preserve">6.2 Tipos de garantía</w:t>
      </w:r>
    </w:p>
    <w:p>
      <w:pPr>
        <w:keepNext/>
        <w:spacing w:after="60" w:before="120"/>
      </w:pPr>
      <w:r>
        <w:rPr>
          <w:b/>
          <w:bCs/>
          <w:color w:val="1F3864"/>
          <w:sz w:val="19"/>
          <w:szCs w:val="19"/>
        </w:rPr>
        <w:t xml:space="preserve">Tabla 6.1. Tipos de garantía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556"/>
        <w:gridCol w:w="3745"/>
      </w:tblGrid>
      <w:tr>
        <w:trPr>
          <w:cantSplit/>
          <w:tblHeader/>
        </w:trPr>
        <w:tc>
          <w:tcPr>
            <w:tcW w:type="dxa" w:w="205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Tipo</w:t>
            </w:r>
          </w:p>
        </w:tc>
        <w:tc>
          <w:tcPr>
            <w:tcW w:type="dxa" w:w="355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Descripción</w:t>
            </w:r>
          </w:p>
        </w:tc>
        <w:tc>
          <w:tcPr>
            <w:tcW w:type="dxa" w:w="3745"/>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Aspectos críticos</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Hipotecaria</w:t>
            </w:r>
          </w:p>
        </w:tc>
        <w:tc>
          <w:tcPr>
            <w:tcW w:type="dxa" w:w="355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Derecho real sobre un inmueble inscrito en el registro de la propiedad correspondiente.</w:t>
            </w:r>
          </w:p>
        </w:tc>
        <w:tc>
          <w:tcPr>
            <w:tcW w:type="dxa" w:w="374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Titularidad, gravámenes previos, avalúo, inscripción, seguros, ocupación del inmueble.</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Prendaria / mobiliaria</w:t>
            </w:r>
          </w:p>
        </w:tc>
        <w:tc>
          <w:tcPr>
            <w:tcW w:type="dxa" w:w="355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Garantía sobre bienes muebles (vehículos, maquinaria, inventarios, cuentas por cobrar).</w:t>
            </w:r>
          </w:p>
        </w:tc>
        <w:tc>
          <w:tcPr>
            <w:tcW w:type="dxa" w:w="374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Identificación del bien, inscripción en el Registro de Garantías Mobiliarias cuando corresponda, depreciación, control físico.</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Fiduciaria / personal (fianza)</w:t>
            </w:r>
          </w:p>
        </w:tc>
        <w:tc>
          <w:tcPr>
            <w:tcW w:type="dxa" w:w="355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Una persona natural o jurídica se obliga a pagar si el deudor incumple.</w:t>
            </w:r>
          </w:p>
        </w:tc>
        <w:tc>
          <w:tcPr>
            <w:tcW w:type="dxa" w:w="374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Capacidad de pago del fiador, su propio endeudamiento, historial y voluntad.</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Depósitos o valores pignorados</w:t>
            </w:r>
          </w:p>
        </w:tc>
        <w:tc>
          <w:tcPr>
            <w:tcW w:type="dxa" w:w="355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Fondos o instrumentos bloqueados a favor del acreedor.</w:t>
            </w:r>
          </w:p>
        </w:tc>
        <w:tc>
          <w:tcPr>
            <w:tcW w:type="dxa" w:w="374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Disponibilidad efectiva, plazo del instrumento, moneda.</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Garantías de fondos o programas</w:t>
            </w:r>
          </w:p>
        </w:tc>
        <w:tc>
          <w:tcPr>
            <w:tcW w:type="dxa" w:w="355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Coberturas otorgadas por fondos de garantía o programas públicos, cuando existan.</w:t>
            </w:r>
          </w:p>
        </w:tc>
        <w:tc>
          <w:tcPr>
            <w:tcW w:type="dxa" w:w="374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Condiciones de la cobertura, plazos para reclamar, porcentaje cubierto.</w:t>
            </w:r>
          </w:p>
        </w:tc>
      </w:tr>
    </w:tbl>
    <w:p>
      <w:pPr>
        <w:spacing w:after="120"/>
      </w:pPr>
    </w:p>
    <w:p>
      <w:pPr>
        <w:pStyle w:val="Heading2"/>
        <w:keepNext/>
      </w:pPr>
      <w:r>
        <w:t xml:space="preserve">6.3 Elementos de evaluación de una garantía</w:t>
      </w:r>
    </w:p>
    <w:p>
      <w:pPr>
        <w:keepNext/>
        <w:spacing w:after="60" w:before="120"/>
      </w:pPr>
      <w:r>
        <w:rPr>
          <w:b/>
          <w:bCs/>
          <w:color w:val="1F3864"/>
          <w:sz w:val="19"/>
          <w:szCs w:val="19"/>
        </w:rPr>
        <w:t xml:space="preserve">Tabla 6.2. Lista de evaluación de garantías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744"/>
        <w:gridCol w:w="3557"/>
      </w:tblGrid>
      <w:tr>
        <w:trPr>
          <w:cantSplit/>
          <w:tblHeader/>
        </w:trPr>
        <w:tc>
          <w:tcPr>
            <w:tcW w:type="dxa" w:w="205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Elemento</w:t>
            </w:r>
          </w:p>
        </w:tc>
        <w:tc>
          <w:tcPr>
            <w:tcW w:type="dxa" w:w="3744"/>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Qué verificar</w:t>
            </w:r>
          </w:p>
        </w:tc>
        <w:tc>
          <w:tcPr>
            <w:tcW w:type="dxa" w:w="3557"/>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Evidencia</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Identificación del bien o garante</w:t>
            </w:r>
          </w:p>
        </w:tc>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Que el bien exista, esté descrito correctamente y sea el ofrecido.</w:t>
            </w:r>
          </w:p>
        </w:tc>
        <w:tc>
          <w:tcPr>
            <w:tcW w:type="dxa" w:w="355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Inspección, avalúo, fotografías, número de matrícula o serie.</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Titularidad</w:t>
            </w:r>
          </w:p>
        </w:tc>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Que quien constituye la garantía sea el propietario y tenga facultades.</w:t>
            </w:r>
          </w:p>
        </w:tc>
        <w:tc>
          <w:tcPr>
            <w:tcW w:type="dxa" w:w="355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Certificación registral reciente; poderes; acuerdos societarios.</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Documentación legal</w:t>
            </w:r>
          </w:p>
        </w:tc>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Escrituras, planos, solvencias municipales, permisos.</w:t>
            </w:r>
          </w:p>
        </w:tc>
        <w:tc>
          <w:tcPr>
            <w:tcW w:type="dxa" w:w="355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Revisión del área legal.</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Valor comercial</w:t>
            </w:r>
          </w:p>
        </w:tc>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Precio probable en una venta normal entre partes informadas.</w:t>
            </w:r>
          </w:p>
        </w:tc>
        <w:tc>
          <w:tcPr>
            <w:tcW w:type="dxa" w:w="355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Avalúo por perito independiente registrado según política.</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Valor de realización</w:t>
            </w:r>
          </w:p>
        </w:tc>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Precio esperado en una venta forzada o en un plazo corto.</w:t>
            </w:r>
          </w:p>
        </w:tc>
        <w:tc>
          <w:tcPr>
            <w:tcW w:type="dxa" w:w="355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Avalúo con valor de realización o descuento institucional aprobado.</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Liquidez</w:t>
            </w:r>
          </w:p>
        </w:tc>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Facilidad para vender el bien.</w:t>
            </w:r>
          </w:p>
        </w:tc>
        <w:tc>
          <w:tcPr>
            <w:tcW w:type="dxa" w:w="355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Mercado del bien, ubicación, uso, demanda.</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Gravámenes</w:t>
            </w:r>
          </w:p>
        </w:tc>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Hipotecas o embargos previos, prelaciones.</w:t>
            </w:r>
          </w:p>
        </w:tc>
        <w:tc>
          <w:tcPr>
            <w:tcW w:type="dxa" w:w="355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Certificación registral.</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Limitaciones jurídicas</w:t>
            </w:r>
          </w:p>
        </w:tc>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Bienes de familia, copropiedad, litigios, ocupantes.</w:t>
            </w:r>
          </w:p>
        </w:tc>
        <w:tc>
          <w:tcPr>
            <w:tcW w:type="dxa" w:w="355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Dictamen legal.</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Costos de ejecución</w:t>
            </w:r>
          </w:p>
        </w:tc>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Honorarios, costas, impuestos, mantenimiento, seguridad del bien.</w:t>
            </w:r>
          </w:p>
        </w:tc>
        <w:tc>
          <w:tcPr>
            <w:tcW w:type="dxa" w:w="355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Estimación de legal y recuperación.</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Tiempo de recuperación</w:t>
            </w:r>
          </w:p>
        </w:tc>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Duración probable del proceso judicial y la venta.</w:t>
            </w:r>
          </w:p>
        </w:tc>
        <w:tc>
          <w:tcPr>
            <w:tcW w:type="dxa" w:w="355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Experiencia histórica de la institución.</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Cobertura</w:t>
            </w:r>
          </w:p>
        </w:tc>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Relación entre el monto recuperable y la exposición.</w:t>
            </w:r>
          </w:p>
        </w:tc>
        <w:tc>
          <w:tcPr>
            <w:tcW w:type="dxa" w:w="355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Cálculo documentado (6.4).</w:t>
            </w:r>
          </w:p>
        </w:tc>
      </w:tr>
    </w:tbl>
    <w:p>
      <w:pPr>
        <w:spacing w:after="120"/>
      </w:pPr>
    </w:p>
    <w:p>
      <w:pPr>
        <w:pStyle w:val="Heading2"/>
        <w:keepNext/>
      </w:pPr>
      <w:r>
        <w:t xml:space="preserve">6.4 Valor comercial, valor de realización y monto recuperable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1F3864" w:sz="4"/>
              <w:left w:val="single" w:color="1F3864" w:sz="24"/>
              <w:bottom w:val="single" w:color="1F3864" w:sz="4"/>
              <w:right w:val="single" w:color="1F3864" w:sz="4"/>
            </w:tcBorders>
            <w:shd w:fill="DEEAF6" w:color="auto" w:val="clear"/>
            <w:tcMar>
              <w:top w:type="dxa" w:w="100"/>
              <w:left w:type="dxa" w:w="180"/>
              <w:bottom w:type="dxa" w:w="100"/>
              <w:right w:type="dxa" w:w="180"/>
            </w:tcMar>
          </w:tcPr>
          <w:p>
            <w:pPr>
              <w:spacing w:after="60"/>
            </w:pPr>
            <w:r>
              <w:rPr>
                <w:b/>
                <w:bCs/>
                <w:color w:val="1F3864"/>
                <w:sz w:val="20"/>
                <w:szCs w:val="20"/>
              </w:rPr>
              <w:t xml:space="preserve">Fórmula — monto potencialmente recuperable y cobertura</w:t>
            </w:r>
          </w:p>
          <w:p>
            <w:pPr>
              <w:spacing w:after="50"/>
              <w:jc w:val="center"/>
            </w:pPr>
            <w:r>
              <w:rPr>
                <w:sz w:val="20"/>
                <w:szCs w:val="20"/>
              </w:rPr>
              <w:t xml:space="preserve">Valor de realización = Valor comercial × (1 − descuento por venta forzada)</w:t>
            </w:r>
          </w:p>
          <w:p>
            <w:pPr>
              <w:spacing w:after="50"/>
              <w:jc w:val="center"/>
            </w:pPr>
            <w:r>
              <w:rPr>
                <w:sz w:val="20"/>
                <w:szCs w:val="20"/>
              </w:rPr>
              <w:t xml:space="preserve">Monto recuperable = Valor de realización − Gravámenes preferentes − Costos de ejecución</w:t>
            </w:r>
          </w:p>
          <w:p>
            <w:pPr>
              <w:spacing w:after="50"/>
              <w:jc w:val="center"/>
            </w:pPr>
            <w:r>
              <w:rPr>
                <w:sz w:val="20"/>
                <w:szCs w:val="20"/>
              </w:rPr>
              <w:t xml:space="preserve">Cobertura de la garantía = Monto recuperable ÷ Exposición crediticia</w:t>
            </w:r>
          </w:p>
          <w:p>
            <w:pPr>
              <w:spacing w:after="50"/>
              <w:jc w:val="center"/>
            </w:pPr>
            <w:r>
              <w:rPr>
                <w:sz w:val="20"/>
                <w:szCs w:val="20"/>
              </w:rPr>
              <w:t xml:space="preserve">Relación préstamo-valor (LTV) = Monto del préstamo ÷ Valor comercial × 100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2E75B6" w:sz="4"/>
              <w:left w:val="single" w:color="2E75B6" w:sz="24"/>
              <w:bottom w:val="single" w:color="2E75B6" w:sz="4"/>
              <w:right w:val="single" w:color="2E75B6" w:sz="4"/>
            </w:tcBorders>
            <w:shd w:fill="F2F7FC" w:color="auto" w:val="clear"/>
            <w:tcMar>
              <w:top w:type="dxa" w:w="100"/>
              <w:left w:type="dxa" w:w="180"/>
              <w:bottom w:type="dxa" w:w="100"/>
              <w:right w:type="dxa" w:w="180"/>
            </w:tcMar>
          </w:tcPr>
          <w:p>
            <w:pPr>
              <w:spacing w:after="60"/>
            </w:pPr>
            <w:r>
              <w:rPr>
                <w:b/>
                <w:bCs/>
                <w:color w:val="2E75B6"/>
                <w:sz w:val="20"/>
                <w:szCs w:val="20"/>
              </w:rPr>
              <w:t xml:space="preserve">Ejemplo (datos ficticios) — de valor comercial a monto recuperable</w:t>
            </w:r>
          </w:p>
          <w:p>
            <w:pPr>
              <w:spacing w:after="50"/>
              <w:jc w:val="left"/>
            </w:pPr>
            <w:r>
              <w:rPr>
                <w:sz w:val="20"/>
                <w:szCs w:val="20"/>
              </w:rPr>
              <w:t xml:space="preserve">Inmueble con avalúo comercial de </w:t>
            </w:r>
            <w:r>
              <w:rPr>
                <w:b/>
                <w:bCs/>
                <w:sz w:val="20"/>
                <w:szCs w:val="20"/>
              </w:rPr>
              <w:t xml:space="preserve">US$120,000</w:t>
            </w:r>
            <w:r>
              <w:rPr>
                <w:sz w:val="20"/>
                <w:szCs w:val="20"/>
              </w:rPr>
              <w:t xml:space="preserve">. El avalúo estima un valor de realización de </w:t>
            </w:r>
            <w:r>
              <w:rPr>
                <w:b/>
                <w:bCs/>
                <w:sz w:val="20"/>
                <w:szCs w:val="20"/>
              </w:rPr>
              <w:t xml:space="preserve">US$84,000</w:t>
            </w:r>
            <w:r>
              <w:rPr>
                <w:sz w:val="20"/>
                <w:szCs w:val="20"/>
              </w:rPr>
              <w:t xml:space="preserve"> (equivale a un descuento de 30 %, supuesto del ejemplo).</w:t>
            </w:r>
          </w:p>
          <w:p>
            <w:pPr>
              <w:spacing w:after="50"/>
              <w:jc w:val="left"/>
            </w:pPr>
            <w:r>
              <w:rPr>
                <w:sz w:val="20"/>
                <w:szCs w:val="20"/>
              </w:rPr>
              <w:t xml:space="preserve">Sin gravámenes previos. Costos estimados de ejecución (honorarios, costas, impuestos, mantenimiento durante el proceso): </w:t>
            </w:r>
            <w:r>
              <w:rPr>
                <w:b/>
                <w:bCs/>
                <w:sz w:val="20"/>
                <w:szCs w:val="20"/>
              </w:rPr>
              <w:t xml:space="preserve">US$9,000</w:t>
            </w:r>
            <w:r>
              <w:rPr>
                <w:sz w:val="20"/>
                <w:szCs w:val="20"/>
              </w:rPr>
              <w:t xml:space="preserve">.</w:t>
            </w:r>
          </w:p>
          <w:p>
            <w:pPr>
              <w:spacing w:after="50"/>
              <w:jc w:val="left"/>
            </w:pPr>
            <w:r>
              <w:rPr>
                <w:sz w:val="20"/>
                <w:szCs w:val="20"/>
              </w:rPr>
              <w:t xml:space="preserve">Monto recuperable = 84,000 − 0 − 9,000 = </w:t>
            </w:r>
            <w:r>
              <w:rPr>
                <w:b/>
                <w:bCs/>
                <w:sz w:val="20"/>
                <w:szCs w:val="20"/>
              </w:rPr>
              <w:t xml:space="preserve">US$75,000</w:t>
            </w:r>
            <w:r>
              <w:rPr>
                <w:sz w:val="20"/>
                <w:szCs w:val="20"/>
              </w:rPr>
              <w:t xml:space="preserve">.</w:t>
            </w:r>
          </w:p>
          <w:p>
            <w:pPr>
              <w:spacing w:after="50"/>
              <w:jc w:val="left"/>
            </w:pPr>
            <w:r>
              <w:rPr>
                <w:sz w:val="20"/>
                <w:szCs w:val="20"/>
              </w:rPr>
              <w:t xml:space="preserve">Préstamo solicitado: US$50,000. Cobertura = 75,000 ÷ 50,000 = </w:t>
            </w:r>
            <w:r>
              <w:rPr>
                <w:b/>
                <w:bCs/>
                <w:sz w:val="20"/>
                <w:szCs w:val="20"/>
              </w:rPr>
              <w:t xml:space="preserve">1.50 veces</w:t>
            </w:r>
            <w:r>
              <w:rPr>
                <w:sz w:val="20"/>
                <w:szCs w:val="20"/>
              </w:rPr>
              <w:t xml:space="preserve">. LTV = 50,000 ÷ 120,000 × 100 = </w:t>
            </w:r>
            <w:r>
              <w:rPr>
                <w:b/>
                <w:bCs/>
                <w:sz w:val="20"/>
                <w:szCs w:val="20"/>
              </w:rPr>
              <w:t xml:space="preserve">41.7 %</w:t>
            </w:r>
            <w:r>
              <w:rPr>
                <w:sz w:val="20"/>
                <w:szCs w:val="20"/>
              </w:rPr>
              <w:t xml:space="preserve">.</w:t>
            </w:r>
          </w:p>
          <w:p>
            <w:pPr>
              <w:spacing w:after="50"/>
              <w:jc w:val="left"/>
            </w:pPr>
            <w:r>
              <w:rPr>
                <w:b/>
                <w:bCs/>
                <w:sz w:val="20"/>
                <w:szCs w:val="20"/>
              </w:rPr>
              <w:t xml:space="preserve">Interpretación:</w:t>
            </w:r>
            <w:r>
              <w:rPr>
                <w:sz w:val="20"/>
                <w:szCs w:val="20"/>
              </w:rPr>
              <w:t xml:space="preserve"> si el crédito termina en ejecución, el monto recuperable cubriría el saldo de capital. Pero esto </w:t>
            </w:r>
            <w:r>
              <w:rPr>
                <w:b/>
                <w:bCs/>
                <w:sz w:val="20"/>
                <w:szCs w:val="20"/>
              </w:rPr>
              <w:t xml:space="preserve">no dice nada</w:t>
            </w:r>
            <w:r>
              <w:rPr>
                <w:sz w:val="20"/>
                <w:szCs w:val="20"/>
              </w:rPr>
              <w:t xml:space="preserve"> sobre si el cliente puede pagar las cuotas.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77C02" w:sz="4"/>
              <w:left w:val="single" w:color="C77C02" w:sz="24"/>
              <w:bottom w:val="single" w:color="C77C02" w:sz="4"/>
              <w:right w:val="single" w:color="C77C02" w:sz="4"/>
            </w:tcBorders>
            <w:shd w:fill="FFF4E0" w:color="auto" w:val="clear"/>
            <w:tcMar>
              <w:top w:type="dxa" w:w="100"/>
              <w:left w:type="dxa" w:w="180"/>
              <w:bottom w:type="dxa" w:w="100"/>
              <w:right w:type="dxa" w:w="180"/>
            </w:tcMar>
          </w:tcPr>
          <w:p>
            <w:pPr>
              <w:spacing w:after="60"/>
            </w:pPr>
            <w:r>
              <w:rPr>
                <w:b/>
                <w:bCs/>
                <w:color w:val="C77C02"/>
                <w:sz w:val="20"/>
                <w:szCs w:val="20"/>
              </w:rPr>
              <w:t xml:space="preserve">Nota metodológica</w:t>
            </w:r>
          </w:p>
          <w:p>
            <w:pPr>
              <w:spacing w:after="50"/>
              <w:jc w:val="left"/>
            </w:pPr>
            <w:r>
              <w:rPr>
                <w:sz w:val="20"/>
                <w:szCs w:val="20"/>
              </w:rPr>
              <w:t xml:space="preserve">El descuento por venta forzada, los costos de ejecución y el tiempo de recuperación deben basarse en la experiencia documentada de la institución y en el avalúo. Los valores usados en el ejemplo son supuestos didácticos.</w:t>
            </w:r>
          </w:p>
        </w:tc>
      </w:tr>
    </w:tbl>
    <w:p>
      <w:pPr>
        <w:spacing w:after="120"/>
      </w:pPr>
    </w:p>
    <w:p>
      <w:pPr>
        <w:pStyle w:val="Heading2"/>
        <w:keepNext/>
      </w:pPr>
      <w:r>
        <w:t xml:space="preserve">6.5 Evaluación del fiador</w:t>
      </w:r>
    </w:p>
    <w:p>
      <w:pPr>
        <w:keepNext w:val="false"/>
        <w:spacing w:after="120" w:before="0"/>
        <w:jc w:val="both"/>
      </w:pPr>
      <w:r>
        <w:t xml:space="preserve">El fiador debe evaluarse </w:t>
      </w:r>
      <w:r>
        <w:rPr>
          <w:b/>
          <w:bCs/>
        </w:rPr>
        <w:t xml:space="preserve">con la misma metodología</w:t>
      </w:r>
      <w:r>
        <w:t xml:space="preserve"> que el deudor: capacidad de pago, historial y endeudamiento. Un fiador sin capacidad residual no mitiga el riesgo. Además, debe informarse al fiador, de manera clara, las obligaciones que asume.</w:t>
      </w:r>
    </w:p>
    <w:p>
      <w:pPr>
        <w:pStyle w:val="Heading2"/>
        <w:keepNext/>
      </w:pPr>
      <w:r>
        <w:t xml:space="preserve">6.6 Caso breve: garantía suficiente, crédito no recomendable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2E75B6" w:sz="4"/>
              <w:left w:val="single" w:color="2E75B6" w:sz="24"/>
              <w:bottom w:val="single" w:color="2E75B6" w:sz="4"/>
              <w:right w:val="single" w:color="2E75B6" w:sz="4"/>
            </w:tcBorders>
            <w:shd w:fill="F2F7FC" w:color="auto" w:val="clear"/>
            <w:tcMar>
              <w:top w:type="dxa" w:w="100"/>
              <w:left w:type="dxa" w:w="180"/>
              <w:bottom w:type="dxa" w:w="100"/>
              <w:right w:type="dxa" w:w="180"/>
            </w:tcMar>
          </w:tcPr>
          <w:p>
            <w:pPr>
              <w:spacing w:after="60"/>
            </w:pPr>
            <w:r>
              <w:rPr>
                <w:b/>
                <w:bCs/>
                <w:color w:val="2E75B6"/>
                <w:sz w:val="20"/>
                <w:szCs w:val="20"/>
              </w:rPr>
              <w:t xml:space="preserve">Ejemplo (datos ficticios) — la garantía no sustituye la capacidad de pago</w:t>
            </w:r>
          </w:p>
          <w:p>
            <w:pPr>
              <w:spacing w:after="50"/>
              <w:jc w:val="left"/>
            </w:pPr>
            <w:r>
              <w:rPr>
                <w:sz w:val="20"/>
                <w:szCs w:val="20"/>
              </w:rPr>
              <w:t xml:space="preserve">Solicitante de 63 años ofrece en hipoteca el inmueble del ejemplo anterior (cobertura 1.50 veces) por un préstamo de </w:t>
            </w:r>
            <w:r>
              <w:rPr>
                <w:b/>
                <w:bCs/>
                <w:sz w:val="20"/>
                <w:szCs w:val="20"/>
              </w:rPr>
              <w:t xml:space="preserve">US$50,000</w:t>
            </w:r>
            <w:r>
              <w:rPr>
                <w:sz w:val="20"/>
                <w:szCs w:val="20"/>
              </w:rPr>
              <w:t xml:space="preserve"> a 120 meses y 12 % anual. Cuota: </w:t>
            </w:r>
            <w:r>
              <w:rPr>
                <w:b/>
                <w:bCs/>
                <w:sz w:val="20"/>
                <w:szCs w:val="20"/>
              </w:rPr>
              <w:t xml:space="preserve">US$717.35</w:t>
            </w:r>
            <w:r>
              <w:rPr>
                <w:sz w:val="20"/>
                <w:szCs w:val="20"/>
              </w:rPr>
              <w:t xml:space="preserve">.</w:t>
            </w:r>
          </w:p>
          <w:p>
            <w:pPr>
              <w:spacing w:after="50"/>
              <w:jc w:val="left"/>
            </w:pPr>
            <w:r>
              <w:rPr>
                <w:sz w:val="20"/>
                <w:szCs w:val="20"/>
              </w:rPr>
              <w:t xml:space="preserve">Ingreso neto verificado: pensión US$850 + alquiler US$500 = US$1,350. Gastos esenciales US$600; deudas actuales US$150.</w:t>
            </w:r>
          </w:p>
          <w:p>
            <w:pPr>
              <w:spacing w:after="50"/>
              <w:jc w:val="left"/>
            </w:pPr>
            <w:r>
              <w:rPr>
                <w:sz w:val="20"/>
                <w:szCs w:val="20"/>
              </w:rPr>
              <w:t xml:space="preserve">Capacidad residual = 1,350 − 600 − 150 − 717.35 = </w:t>
            </w:r>
            <w:r>
              <w:rPr>
                <w:b/>
                <w:bCs/>
                <w:sz w:val="20"/>
                <w:szCs w:val="20"/>
              </w:rPr>
              <w:t xml:space="preserve">−US$117.35</w:t>
            </w:r>
            <w:r>
              <w:rPr>
                <w:sz w:val="20"/>
                <w:szCs w:val="20"/>
              </w:rPr>
              <w:t xml:space="preserve"> (negativa).</w:t>
            </w:r>
          </w:p>
          <w:p>
            <w:pPr>
              <w:spacing w:after="50"/>
              <w:jc w:val="left"/>
            </w:pPr>
            <w:r>
              <w:rPr>
                <w:sz w:val="20"/>
                <w:szCs w:val="20"/>
              </w:rPr>
              <w:t xml:space="preserve">Relación deuda-ingreso = (150 + 717.35) ÷ 1,350 × 100 = </w:t>
            </w:r>
            <w:r>
              <w:rPr>
                <w:b/>
                <w:bCs/>
                <w:sz w:val="20"/>
                <w:szCs w:val="20"/>
              </w:rPr>
              <w:t xml:space="preserve">64.25 %</w:t>
            </w:r>
            <w:r>
              <w:rPr>
                <w:sz w:val="20"/>
                <w:szCs w:val="20"/>
              </w:rPr>
              <w:t xml:space="preserve">.</w:t>
            </w:r>
          </w:p>
          <w:p>
            <w:pPr>
              <w:spacing w:after="50"/>
              <w:jc w:val="left"/>
            </w:pPr>
            <w:r>
              <w:rPr>
                <w:b/>
                <w:bCs/>
                <w:sz w:val="20"/>
                <w:szCs w:val="20"/>
              </w:rPr>
              <w:t xml:space="preserve">Conclusión:</w:t>
            </w:r>
            <w:r>
              <w:rPr>
                <w:sz w:val="20"/>
                <w:szCs w:val="20"/>
              </w:rPr>
              <w:t xml:space="preserve"> aunque la garantía cubre la deuda, el solicitante no puede pagar la cuota con sus ingresos. Aprobar llevaría casi con certeza a mora y a la posible pérdida de su vivienda. </w:t>
            </w:r>
            <w:r>
              <w:rPr>
                <w:b/>
                <w:bCs/>
                <w:sz w:val="20"/>
                <w:szCs w:val="20"/>
              </w:rPr>
              <w:t xml:space="preserve">No se recomienda.</w:t>
            </w:r>
            <w:r>
              <w:rPr>
                <w:sz w:val="20"/>
                <w:szCs w:val="20"/>
              </w:rPr>
              <w:t xml:space="preserve"> El desarrollo completo está en el Caso 4 (Capítulo 16).</w:t>
            </w:r>
          </w:p>
        </w:tc>
      </w:tr>
    </w:tbl>
    <w:p>
      <w:pPr>
        <w:spacing w:after="120"/>
      </w:pPr>
    </w:p>
    <w:p>
      <w:pPr>
        <w:pStyle w:val="Heading2"/>
        <w:keepNext/>
      </w:pPr>
      <w:r>
        <w:t xml:space="preserve">6.7 Formalización y conservación de la garantía</w:t>
      </w:r>
    </w:p>
    <w:p>
      <w:pPr>
        <w:pStyle w:val="ListParagraph"/>
        <w:numPr>
          <w:ilvl w:val="0"/>
          <w:numId w:val="14"/>
        </w:numPr>
        <w:spacing w:after="60"/>
        <w:jc w:val="left"/>
      </w:pPr>
      <w:r>
        <w:t xml:space="preserve">Verificar inscripción efectiva (hipoteca en el registro inmobiliario; garantía mobiliaria en el Registro de Garantías Mobiliarias del CNR, cuando corresponda).</w:t>
      </w:r>
    </w:p>
    <w:p>
      <w:pPr>
        <w:pStyle w:val="ListParagraph"/>
        <w:numPr>
          <w:ilvl w:val="0"/>
          <w:numId w:val="14"/>
        </w:numPr>
        <w:spacing w:after="60"/>
        <w:jc w:val="left"/>
      </w:pPr>
      <w:r>
        <w:t xml:space="preserve">Exigir y controlar seguros sobre el bien, con endoso a favor de la institución según política.</w:t>
      </w:r>
    </w:p>
    <w:p>
      <w:pPr>
        <w:pStyle w:val="ListParagraph"/>
        <w:numPr>
          <w:ilvl w:val="0"/>
          <w:numId w:val="14"/>
        </w:numPr>
        <w:spacing w:after="60"/>
        <w:jc w:val="left"/>
      </w:pPr>
      <w:r>
        <w:t xml:space="preserve">Programar revaluaciones periódicas según tipo de bien y política.</w:t>
      </w:r>
    </w:p>
    <w:p>
      <w:pPr>
        <w:pStyle w:val="ListParagraph"/>
        <w:numPr>
          <w:ilvl w:val="0"/>
          <w:numId w:val="14"/>
        </w:numPr>
        <w:spacing w:after="60"/>
        <w:jc w:val="left"/>
      </w:pPr>
      <w:r>
        <w:t xml:space="preserve">Controlar la custodia de documentos originales y su devolución al cancelar el crédito.</w:t>
      </w:r>
    </w:p>
    <w:p>
      <w:pPr>
        <w:pStyle w:val="Heading1"/>
        <w:pageBreakBefore/>
      </w:pPr>
      <w:r>
        <w:t xml:space="preserve">Capítulo 7. Evaluación de la gestión y las operaciones comerciales</w:t>
      </w:r>
    </w:p>
    <w:p>
      <w:pPr>
        <w:keepNext w:val="false"/>
        <w:spacing w:after="120" w:before="0"/>
        <w:jc w:val="both"/>
      </w:pPr>
      <w:r>
        <w:rPr>
          <w:i/>
          <w:iCs/>
        </w:rPr>
        <w:t xml:space="preserve">Desarrolla el apartado original 6: «Evaluación de la gestión y las operaciones comerciales del prestatario».</w:t>
      </w:r>
    </w:p>
    <w:p>
      <w:pPr>
        <w:pStyle w:val="Heading2"/>
        <w:keepNext/>
      </w:pPr>
      <w:r>
        <w:t xml:space="preserve">7.1 Por qué analizar el negocio</w:t>
      </w:r>
    </w:p>
    <w:p>
      <w:pPr>
        <w:keepNext w:val="false"/>
        <w:spacing w:after="120" w:before="0"/>
        <w:jc w:val="both"/>
      </w:pPr>
      <w:r>
        <w:t xml:space="preserve">Cuando el crédito se paga con lo que genera un negocio, la pregunta clave es </w:t>
      </w:r>
      <w:r>
        <w:rPr>
          <w:b/>
          <w:bCs/>
        </w:rPr>
        <w:t xml:space="preserve">si el negocio produce efectivo suficiente y estable</w:t>
      </w:r>
      <w:r>
        <w:t xml:space="preserve"> para cubrir sus costos, los gastos del propietario y las deudas. Un negocio puede vender mucho y aun así no generar efectivo si cobra tarde, acumula inventarios o tiene márgenes muy bajos.</w:t>
      </w:r>
    </w:p>
    <w:p>
      <w:pPr>
        <w:pStyle w:val="Heading2"/>
        <w:keepNext/>
      </w:pPr>
      <w:r>
        <w:t xml:space="preserve">7.2 Aspectos cualitativos</w:t>
      </w:r>
    </w:p>
    <w:p>
      <w:pPr>
        <w:keepNext/>
        <w:spacing w:after="60" w:before="120"/>
      </w:pPr>
      <w:r>
        <w:rPr>
          <w:b/>
          <w:bCs/>
          <w:color w:val="1F3864"/>
          <w:sz w:val="19"/>
          <w:szCs w:val="19"/>
        </w:rPr>
        <w:t xml:space="preserve">Tabla 7.1. Evaluación cualitativa del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620"/>
        <w:gridCol w:w="2433"/>
        <w:gridCol w:w="2435"/>
      </w:tblGrid>
      <w:tr>
        <w:trPr>
          <w:cantSplit/>
          <w:tblHeader/>
        </w:trPr>
        <w:tc>
          <w:tcPr>
            <w:tcW w:type="dxa" w:w="187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Aspecto</w:t>
            </w:r>
          </w:p>
        </w:tc>
        <w:tc>
          <w:tcPr>
            <w:tcW w:type="dxa" w:w="262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Preguntas guía</w:t>
            </w:r>
          </w:p>
        </w:tc>
        <w:tc>
          <w:tcPr>
            <w:tcW w:type="dxa" w:w="2433"/>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Señal favorable</w:t>
            </w:r>
          </w:p>
        </w:tc>
        <w:tc>
          <w:tcPr>
            <w:tcW w:type="dxa" w:w="2435"/>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Señal de alerta</w:t>
            </w:r>
          </w:p>
        </w:tc>
      </w:tr>
      <w:tr>
        <w:trPr>
          <w:cantSplit/>
        </w:trPr>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Experiencia de los responsables</w:t>
            </w:r>
          </w:p>
        </w:tc>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¿Cuántos años en la actividad? ¿Conocen sus costos?</w:t>
            </w:r>
          </w:p>
        </w:tc>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Trayectoria demostrable; registros ordenados.</w:t>
            </w:r>
          </w:p>
        </w:tc>
        <w:tc>
          <w:tcPr>
            <w:tcW w:type="dxa" w:w="243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Actividad nueva sin experiencia previa.</w:t>
            </w:r>
          </w:p>
        </w:tc>
      </w:tr>
      <w:tr>
        <w:trPr>
          <w:cantSplit/>
        </w:trPr>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Continuidad operativa</w:t>
            </w:r>
          </w:p>
        </w:tc>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¿Cuánto tiempo lleva operando? ¿Hay sucesión prevista?</w:t>
            </w:r>
          </w:p>
        </w:tc>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Operación estable de varios años.</w:t>
            </w:r>
          </w:p>
        </w:tc>
        <w:tc>
          <w:tcPr>
            <w:tcW w:type="dxa" w:w="243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Cierres temporales recientes; dependencia total del propietario.</w:t>
            </w:r>
          </w:p>
        </w:tc>
      </w:tr>
      <w:tr>
        <w:trPr>
          <w:cantSplit/>
        </w:trPr>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Modelo de negocio</w:t>
            </w:r>
          </w:p>
        </w:tc>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¿Qué vende, a quién y cómo cobra?</w:t>
            </w:r>
          </w:p>
        </w:tc>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Propuesta clara y clientes recurrentes.</w:t>
            </w:r>
          </w:p>
        </w:tc>
        <w:tc>
          <w:tcPr>
            <w:tcW w:type="dxa" w:w="243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Modelo confuso o dependiente de una sola oportunidad.</w:t>
            </w:r>
          </w:p>
        </w:tc>
      </w:tr>
      <w:tr>
        <w:trPr>
          <w:cantSplit/>
        </w:trPr>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Rentabilidad</w:t>
            </w:r>
          </w:p>
        </w:tc>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¿Cuánto queda de cada venta?</w:t>
            </w:r>
          </w:p>
        </w:tc>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Márgenes estables o crecientes.</w:t>
            </w:r>
          </w:p>
        </w:tc>
        <w:tc>
          <w:tcPr>
            <w:tcW w:type="dxa" w:w="243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Márgenes decrecientes.</w:t>
            </w:r>
          </w:p>
        </w:tc>
      </w:tr>
      <w:tr>
        <w:trPr>
          <w:cantSplit/>
        </w:trPr>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Flujo de efectivo</w:t>
            </w:r>
          </w:p>
        </w:tc>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¿Cobra al contado o a crédito? ¿Cuánto tarda?</w:t>
            </w:r>
          </w:p>
        </w:tc>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Ciclo de cobro corto.</w:t>
            </w:r>
          </w:p>
        </w:tc>
        <w:tc>
          <w:tcPr>
            <w:tcW w:type="dxa" w:w="243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Cuentas por cobrar crecientes y antiguas.</w:t>
            </w:r>
          </w:p>
        </w:tc>
      </w:tr>
      <w:tr>
        <w:trPr>
          <w:cantSplit/>
        </w:trPr>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Dependencia de clientes o proveedores</w:t>
            </w:r>
          </w:p>
        </w:tc>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¿Qué porcentaje vende al mayor cliente?</w:t>
            </w:r>
          </w:p>
        </w:tc>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Cartera diversificada.</w:t>
            </w:r>
          </w:p>
        </w:tc>
        <w:tc>
          <w:tcPr>
            <w:tcW w:type="dxa" w:w="243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Un cliente concentra más de la mitad de las ventas.</w:t>
            </w:r>
          </w:p>
        </w:tc>
      </w:tr>
      <w:tr>
        <w:trPr>
          <w:cantSplit/>
        </w:trPr>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Concentración de ingresos</w:t>
            </w:r>
          </w:p>
        </w:tc>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¿Depende de un producto o temporada?</w:t>
            </w:r>
          </w:p>
        </w:tc>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Varias líneas de ingreso.</w:t>
            </w:r>
          </w:p>
        </w:tc>
        <w:tc>
          <w:tcPr>
            <w:tcW w:type="dxa" w:w="243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Ingreso concentrado en pocos meses.</w:t>
            </w:r>
          </w:p>
        </w:tc>
      </w:tr>
      <w:tr>
        <w:trPr>
          <w:cantSplit/>
        </w:trPr>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Competencia</w:t>
            </w:r>
          </w:p>
        </w:tc>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¿Quiénes compiten y cómo?</w:t>
            </w:r>
          </w:p>
        </w:tc>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Ventaja clara (ubicación, calidad).</w:t>
            </w:r>
          </w:p>
        </w:tc>
        <w:tc>
          <w:tcPr>
            <w:tcW w:type="dxa" w:w="243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Competencia creciente sin diferenciación.</w:t>
            </w:r>
          </w:p>
        </w:tc>
      </w:tr>
      <w:tr>
        <w:trPr>
          <w:cantSplit/>
        </w:trPr>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Capacidad operativa</w:t>
            </w:r>
          </w:p>
        </w:tc>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¿Tiene equipo, personal y espacio para crecer?</w:t>
            </w:r>
          </w:p>
        </w:tc>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Capacidad acorde al plan.</w:t>
            </w:r>
          </w:p>
        </w:tc>
        <w:tc>
          <w:tcPr>
            <w:tcW w:type="dxa" w:w="243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El crédito financia un crecimiento que el negocio no puede operar.</w:t>
            </w:r>
          </w:p>
        </w:tc>
      </w:tr>
      <w:tr>
        <w:trPr>
          <w:cantSplit/>
        </w:trPr>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Riesgos del sector</w:t>
            </w:r>
          </w:p>
        </w:tc>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¿Qué factores externos le afectan?</w:t>
            </w:r>
          </w:p>
        </w:tc>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Riesgos identificados y gestionados.</w:t>
            </w:r>
          </w:p>
        </w:tc>
        <w:tc>
          <w:tcPr>
            <w:tcW w:type="dxa" w:w="243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Exposición alta a costos o regulaciones cambiantes.</w:t>
            </w:r>
          </w:p>
        </w:tc>
      </w:tr>
      <w:tr>
        <w:trPr>
          <w:cantSplit/>
        </w:trPr>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Sostenibilidad</w:t>
            </w:r>
          </w:p>
        </w:tc>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¿Cumple permisos y obligaciones? ¿Tiene impacto ambiental o social relevante?</w:t>
            </w:r>
          </w:p>
        </w:tc>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Formalidad y cumplimiento.</w:t>
            </w:r>
          </w:p>
        </w:tc>
        <w:tc>
          <w:tcPr>
            <w:tcW w:type="dxa" w:w="243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Operación informal en actividades reguladas.</w:t>
            </w:r>
          </w:p>
        </w:tc>
      </w:tr>
    </w:tbl>
    <w:p>
      <w:pPr>
        <w:spacing w:after="120"/>
      </w:pPr>
    </w:p>
    <w:p>
      <w:pPr>
        <w:pStyle w:val="Heading2"/>
        <w:keepNext/>
      </w:pPr>
      <w:r>
        <w:t xml:space="preserve">7.3 Cómo saber si el negocio genera efectivo suficiente</w:t>
      </w:r>
    </w:p>
    <w:p>
      <w:pPr>
        <w:keepNext w:val="false"/>
        <w:spacing w:after="120" w:before="0"/>
        <w:jc w:val="both"/>
      </w:pPr>
      <w:r>
        <w:t xml:space="preserve">El procedimiento consiste en construir un </w:t>
      </w:r>
      <w:r>
        <w:rPr>
          <w:b/>
          <w:bCs/>
        </w:rPr>
        <w:t xml:space="preserve">flujo de efectivo mensual simplificado</w:t>
      </w:r>
      <w:r>
        <w:t xml:space="preserve"> a partir de ventas verificadas, restar costos y gastos, restar lo que el propietario retira para su hogar y los impuestos, y comparar el resultado con las cuotas de todas las deudas.</w:t>
      </w:r>
    </w:p>
    <w:p>
      <w:pPr>
        <w:keepNext/>
        <w:spacing w:after="60" w:before="120"/>
      </w:pPr>
      <w:r>
        <w:rPr>
          <w:b/>
          <w:bCs/>
          <w:color w:val="1F3864"/>
          <w:sz w:val="19"/>
          <w:szCs w:val="19"/>
        </w:rPr>
        <w:t xml:space="preserve">Tabla 7.2. Ejemplo ficticio: comercio minorista de materiales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4305"/>
        <w:gridCol w:w="2060"/>
      </w:tblGrid>
      <w:tr>
        <w:trPr>
          <w:cantSplit/>
          <w:tblHeader/>
        </w:trPr>
        <w:tc>
          <w:tcPr>
            <w:tcW w:type="dxa" w:w="2995"/>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Concepto</w:t>
            </w:r>
          </w:p>
        </w:tc>
        <w:tc>
          <w:tcPr>
            <w:tcW w:type="dxa" w:w="4305"/>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Cálculo</w:t>
            </w:r>
          </w:p>
        </w:tc>
        <w:tc>
          <w:tcPr>
            <w:tcW w:type="dxa" w:w="206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US$ mensual</w:t>
            </w:r>
          </w:p>
        </w:tc>
      </w:tr>
      <w:tr>
        <w:trPr>
          <w:cantSplit/>
        </w:trPr>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Ventas verificadas</w:t>
            </w:r>
          </w:p>
        </w:tc>
        <w:tc>
          <w:tcPr>
            <w:tcW w:type="dxa" w:w="430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Promedio respaldado por declaraciones y depósitos</w:t>
            </w:r>
          </w:p>
        </w:tc>
        <w:tc>
          <w:tcPr>
            <w:tcW w:type="dxa" w:w="206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right"/>
            </w:pPr>
            <w:r>
              <w:rPr>
                <w:sz w:val="18"/>
                <w:szCs w:val="18"/>
              </w:rPr>
              <w:t xml:space="preserve">18,000.00</w:t>
            </w:r>
          </w:p>
        </w:tc>
      </w:tr>
      <w:tr>
        <w:trPr>
          <w:cantSplit/>
        </w:trPr>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 Costo de ventas</w:t>
            </w:r>
          </w:p>
        </w:tc>
        <w:tc>
          <w:tcPr>
            <w:tcW w:type="dxa" w:w="430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18,000 × 60 % (margen observado en registros)</w:t>
            </w:r>
          </w:p>
        </w:tc>
        <w:tc>
          <w:tcPr>
            <w:tcW w:type="dxa" w:w="206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right"/>
            </w:pPr>
            <w:r>
              <w:rPr>
                <w:sz w:val="18"/>
                <w:szCs w:val="18"/>
              </w:rPr>
              <w:t xml:space="preserve">10,800.00</w:t>
            </w:r>
          </w:p>
        </w:tc>
      </w:tr>
      <w:tr>
        <w:trPr>
          <w:cantSplit/>
        </w:trPr>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 Margen bruto</w:t>
            </w:r>
          </w:p>
        </w:tc>
        <w:tc>
          <w:tcPr>
            <w:tcW w:type="dxa" w:w="430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18,000 − 10,800</w:t>
            </w:r>
          </w:p>
        </w:tc>
        <w:tc>
          <w:tcPr>
            <w:tcW w:type="dxa" w:w="206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right"/>
            </w:pPr>
            <w:r>
              <w:rPr>
                <w:sz w:val="18"/>
                <w:szCs w:val="18"/>
              </w:rPr>
              <w:t xml:space="preserve">7,200.00</w:t>
            </w:r>
          </w:p>
        </w:tc>
      </w:tr>
      <w:tr>
        <w:trPr>
          <w:cantSplit/>
        </w:trPr>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 Gastos operativos</w:t>
            </w:r>
          </w:p>
        </w:tc>
        <w:tc>
          <w:tcPr>
            <w:tcW w:type="dxa" w:w="430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Alquiler, salarios, servicios, transporte</w:t>
            </w:r>
          </w:p>
        </w:tc>
        <w:tc>
          <w:tcPr>
            <w:tcW w:type="dxa" w:w="206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right"/>
            </w:pPr>
            <w:r>
              <w:rPr>
                <w:sz w:val="18"/>
                <w:szCs w:val="18"/>
              </w:rPr>
              <w:t xml:space="preserve">3,200.00</w:t>
            </w:r>
          </w:p>
        </w:tc>
      </w:tr>
      <w:tr>
        <w:trPr>
          <w:cantSplit/>
        </w:trPr>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 Flujo operativo</w:t>
            </w:r>
          </w:p>
        </w:tc>
        <w:tc>
          <w:tcPr>
            <w:tcW w:type="dxa" w:w="430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7,200 − 3,200</w:t>
            </w:r>
          </w:p>
        </w:tc>
        <w:tc>
          <w:tcPr>
            <w:tcW w:type="dxa" w:w="206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right"/>
            </w:pPr>
            <w:r>
              <w:rPr>
                <w:sz w:val="18"/>
                <w:szCs w:val="18"/>
              </w:rPr>
              <w:t xml:space="preserve">4,000.00</w:t>
            </w:r>
          </w:p>
        </w:tc>
      </w:tr>
      <w:tr>
        <w:trPr>
          <w:cantSplit/>
        </w:trPr>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 Impuestos pagados</w:t>
            </w:r>
          </w:p>
        </w:tc>
        <w:tc>
          <w:tcPr>
            <w:tcW w:type="dxa" w:w="430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Promedio según declaraciones</w:t>
            </w:r>
          </w:p>
        </w:tc>
        <w:tc>
          <w:tcPr>
            <w:tcW w:type="dxa" w:w="206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right"/>
            </w:pPr>
            <w:r>
              <w:rPr>
                <w:sz w:val="18"/>
                <w:szCs w:val="18"/>
              </w:rPr>
              <w:t xml:space="preserve">300.00</w:t>
            </w:r>
          </w:p>
        </w:tc>
      </w:tr>
      <w:tr>
        <w:trPr>
          <w:cantSplit/>
        </w:trPr>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 Retiro del propietario</w:t>
            </w:r>
          </w:p>
        </w:tc>
        <w:tc>
          <w:tcPr>
            <w:tcW w:type="dxa" w:w="430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Gastos familiares verificados</w:t>
            </w:r>
          </w:p>
        </w:tc>
        <w:tc>
          <w:tcPr>
            <w:tcW w:type="dxa" w:w="206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right"/>
            </w:pPr>
            <w:r>
              <w:rPr>
                <w:sz w:val="18"/>
                <w:szCs w:val="18"/>
              </w:rPr>
              <w:t xml:space="preserve">1,500.00</w:t>
            </w:r>
          </w:p>
        </w:tc>
      </w:tr>
      <w:tr>
        <w:trPr>
          <w:cantSplit/>
        </w:trPr>
        <w:tc>
          <w:tcPr>
            <w:tcW w:type="dxa" w:w="2995"/>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r>
              <w:rPr>
                <w:b/>
                <w:bCs/>
                <w:sz w:val="18"/>
                <w:szCs w:val="18"/>
              </w:rPr>
              <w:t xml:space="preserve">= Flujo disponible para deudas</w:t>
            </w:r>
          </w:p>
        </w:tc>
        <w:tc>
          <w:tcPr>
            <w:tcW w:type="dxa" w:w="4305"/>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r>
              <w:rPr>
                <w:b/>
                <w:bCs/>
                <w:sz w:val="18"/>
                <w:szCs w:val="18"/>
              </w:rPr>
              <w:t xml:space="preserve">4,000 − 300 − 1,500</w:t>
            </w:r>
          </w:p>
        </w:tc>
        <w:tc>
          <w:tcPr>
            <w:tcW w:type="dxa" w:w="2060"/>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right"/>
            </w:pPr>
            <w:r>
              <w:rPr>
                <w:b/>
                <w:bCs/>
                <w:sz w:val="18"/>
                <w:szCs w:val="18"/>
              </w:rPr>
              <w:t xml:space="preserve">2,200.00</w:t>
            </w:r>
          </w:p>
        </w:tc>
      </w:tr>
      <w:tr>
        <w:trPr>
          <w:cantSplit/>
        </w:trPr>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Cuotas de deudas actuales</w:t>
            </w:r>
          </w:p>
        </w:tc>
        <w:tc>
          <w:tcPr>
            <w:tcW w:type="dxa" w:w="430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Según historial crediticio</w:t>
            </w:r>
          </w:p>
        </w:tc>
        <w:tc>
          <w:tcPr>
            <w:tcW w:type="dxa" w:w="206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right"/>
            </w:pPr>
            <w:r>
              <w:rPr>
                <w:sz w:val="18"/>
                <w:szCs w:val="18"/>
              </w:rPr>
              <w:t xml:space="preserve">650.00</w:t>
            </w:r>
          </w:p>
        </w:tc>
      </w:tr>
      <w:tr>
        <w:trPr>
          <w:cantSplit/>
        </w:trPr>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Cuota del nuevo crédito</w:t>
            </w:r>
          </w:p>
        </w:tc>
        <w:tc>
          <w:tcPr>
            <w:tcW w:type="dxa" w:w="430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US$25,000 a 48 meses, 14 % anual</w:t>
            </w:r>
          </w:p>
        </w:tc>
        <w:tc>
          <w:tcPr>
            <w:tcW w:type="dxa" w:w="206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right"/>
            </w:pPr>
            <w:r>
              <w:rPr>
                <w:sz w:val="18"/>
                <w:szCs w:val="18"/>
              </w:rPr>
              <w:t xml:space="preserve">683.16</w:t>
            </w:r>
          </w:p>
        </w:tc>
      </w:tr>
      <w:tr>
        <w:trPr>
          <w:cantSplit/>
        </w:trPr>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Servicio total de la deuda</w:t>
            </w:r>
          </w:p>
        </w:tc>
        <w:tc>
          <w:tcPr>
            <w:tcW w:type="dxa" w:w="430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650 + 683.16</w:t>
            </w:r>
          </w:p>
        </w:tc>
        <w:tc>
          <w:tcPr>
            <w:tcW w:type="dxa" w:w="206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right"/>
            </w:pPr>
            <w:r>
              <w:rPr>
                <w:sz w:val="18"/>
                <w:szCs w:val="18"/>
              </w:rPr>
              <w:t xml:space="preserve">1,333.16</w:t>
            </w:r>
          </w:p>
        </w:tc>
      </w:tr>
      <w:tr>
        <w:trPr>
          <w:cantSplit/>
        </w:trPr>
        <w:tc>
          <w:tcPr>
            <w:tcW w:type="dxa" w:w="2995"/>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r>
              <w:rPr>
                <w:b/>
                <w:bCs/>
                <w:sz w:val="18"/>
                <w:szCs w:val="18"/>
              </w:rPr>
              <w:t xml:space="preserve">Cobertura del servicio de la deuda</w:t>
            </w:r>
          </w:p>
        </w:tc>
        <w:tc>
          <w:tcPr>
            <w:tcW w:type="dxa" w:w="4305"/>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r>
              <w:rPr>
                <w:b/>
                <w:bCs/>
                <w:sz w:val="18"/>
                <w:szCs w:val="18"/>
              </w:rPr>
              <w:t xml:space="preserve">2,200 ÷ 1,333.16</w:t>
            </w:r>
          </w:p>
        </w:tc>
        <w:tc>
          <w:tcPr>
            <w:tcW w:type="dxa" w:w="2060"/>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right"/>
            </w:pPr>
            <w:r>
              <w:rPr>
                <w:b/>
                <w:bCs/>
                <w:sz w:val="18"/>
                <w:szCs w:val="18"/>
              </w:rPr>
              <w:t xml:space="preserve">1.65 veces</w:t>
            </w:r>
          </w:p>
        </w:tc>
      </w:tr>
      <w:tr>
        <w:trPr>
          <w:cantSplit/>
        </w:trPr>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Excedente mensual</w:t>
            </w:r>
          </w:p>
        </w:tc>
        <w:tc>
          <w:tcPr>
            <w:tcW w:type="dxa" w:w="430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2,200 − 1,333.16</w:t>
            </w:r>
          </w:p>
        </w:tc>
        <w:tc>
          <w:tcPr>
            <w:tcW w:type="dxa" w:w="206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right"/>
            </w:pPr>
            <w:r>
              <w:rPr>
                <w:sz w:val="18"/>
                <w:szCs w:val="18"/>
              </w:rPr>
              <w:t xml:space="preserve">866.84</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2E75B6" w:sz="4"/>
              <w:left w:val="single" w:color="2E75B6" w:sz="24"/>
              <w:bottom w:val="single" w:color="2E75B6" w:sz="4"/>
              <w:right w:val="single" w:color="2E75B6" w:sz="4"/>
            </w:tcBorders>
            <w:shd w:fill="F2F7FC" w:color="auto" w:val="clear"/>
            <w:tcMar>
              <w:top w:type="dxa" w:w="100"/>
              <w:left w:type="dxa" w:w="180"/>
              <w:bottom w:type="dxa" w:w="100"/>
              <w:right w:type="dxa" w:w="180"/>
            </w:tcMar>
          </w:tcPr>
          <w:p>
            <w:pPr>
              <w:spacing w:after="60"/>
            </w:pPr>
            <w:r>
              <w:rPr>
                <w:b/>
                <w:bCs/>
                <w:color w:val="2E75B6"/>
                <w:sz w:val="20"/>
                <w:szCs w:val="20"/>
              </w:rPr>
              <w:t xml:space="preserve">Ejemplo (datos ficticios) — escenario adverso para el negocio</w:t>
            </w:r>
          </w:p>
          <w:p>
            <w:pPr>
              <w:spacing w:after="50"/>
              <w:jc w:val="left"/>
            </w:pPr>
            <w:r>
              <w:rPr>
                <w:sz w:val="20"/>
                <w:szCs w:val="20"/>
              </w:rPr>
              <w:t xml:space="preserve">Ventas −10 %: 18,000 × 0.90 = US$16,200. Margen bruto: 16,200 × 40 % = US$6,480.</w:t>
            </w:r>
          </w:p>
          <w:p>
            <w:pPr>
              <w:spacing w:after="50"/>
              <w:jc w:val="left"/>
            </w:pPr>
            <w:r>
              <w:rPr>
                <w:sz w:val="20"/>
                <w:szCs w:val="20"/>
              </w:rPr>
              <w:t xml:space="preserve">Flujo operativo: 6,480 − 3,200 = US$3,280. Flujo disponible: 3,280 − 300 − 1,500 = </w:t>
            </w:r>
            <w:r>
              <w:rPr>
                <w:b/>
                <w:bCs/>
                <w:sz w:val="20"/>
                <w:szCs w:val="20"/>
              </w:rPr>
              <w:t xml:space="preserve">US$1,480</w:t>
            </w:r>
            <w:r>
              <w:rPr>
                <w:sz w:val="20"/>
                <w:szCs w:val="20"/>
              </w:rPr>
              <w:t xml:space="preserve"> (se mantienen impuestos y retiro, criterio prudente).</w:t>
            </w:r>
          </w:p>
          <w:p>
            <w:pPr>
              <w:spacing w:after="50"/>
              <w:jc w:val="left"/>
            </w:pPr>
            <w:r>
              <w:rPr>
                <w:sz w:val="20"/>
                <w:szCs w:val="20"/>
              </w:rPr>
              <w:t xml:space="preserve">Cobertura adversa: 1,480 ÷ 1,333.16 = </w:t>
            </w:r>
            <w:r>
              <w:rPr>
                <w:b/>
                <w:bCs/>
                <w:sz w:val="20"/>
                <w:szCs w:val="20"/>
              </w:rPr>
              <w:t xml:space="preserve">1.11 veces</w:t>
            </w:r>
            <w:r>
              <w:rPr>
                <w:sz w:val="20"/>
                <w:szCs w:val="20"/>
              </w:rPr>
              <w:t xml:space="preserve">.</w:t>
            </w:r>
          </w:p>
          <w:p>
            <w:pPr>
              <w:spacing w:after="50"/>
              <w:jc w:val="left"/>
            </w:pPr>
            <w:r>
              <w:rPr>
                <w:b/>
                <w:bCs/>
                <w:sz w:val="20"/>
                <w:szCs w:val="20"/>
              </w:rPr>
              <w:t xml:space="preserve">Interpretación:</w:t>
            </w:r>
            <w:r>
              <w:rPr>
                <w:sz w:val="20"/>
                <w:szCs w:val="20"/>
              </w:rPr>
              <w:t xml:space="preserve"> una caída de 10 % en ventas reduce la cobertura de 1.65 a 1.11, porque los gastos operativos son fijos (apalancamiento operativo). La operación sigue pagando, pero con margen estrecho. Podría evaluarse un plazo mayor, un monto menor o condiciones de seguimiento trimestral.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77C02" w:sz="4"/>
              <w:left w:val="single" w:color="C77C02" w:sz="24"/>
              <w:bottom w:val="single" w:color="C77C02" w:sz="4"/>
              <w:right w:val="single" w:color="C77C02" w:sz="4"/>
            </w:tcBorders>
            <w:shd w:fill="FFF4E0" w:color="auto" w:val="clear"/>
            <w:tcMar>
              <w:top w:type="dxa" w:w="100"/>
              <w:left w:type="dxa" w:w="180"/>
              <w:bottom w:type="dxa" w:w="100"/>
              <w:right w:type="dxa" w:w="180"/>
            </w:tcMar>
          </w:tcPr>
          <w:p>
            <w:pPr>
              <w:spacing w:after="60"/>
            </w:pPr>
            <w:r>
              <w:rPr>
                <w:b/>
                <w:bCs/>
                <w:color w:val="C77C02"/>
                <w:sz w:val="20"/>
                <w:szCs w:val="20"/>
              </w:rPr>
              <w:t xml:space="preserve">Nota metodológica</w:t>
            </w:r>
          </w:p>
          <w:p>
            <w:pPr>
              <w:spacing w:after="50"/>
              <w:jc w:val="left"/>
            </w:pPr>
            <w:r>
              <w:rPr>
                <w:sz w:val="20"/>
                <w:szCs w:val="20"/>
              </w:rPr>
              <w:t xml:space="preserve">Para lectores sin formación financiera: el </w:t>
            </w:r>
            <w:r>
              <w:rPr>
                <w:b/>
                <w:bCs/>
                <w:sz w:val="20"/>
                <w:szCs w:val="20"/>
              </w:rPr>
              <w:t xml:space="preserve">margen bruto</w:t>
            </w:r>
            <w:r>
              <w:rPr>
                <w:sz w:val="20"/>
                <w:szCs w:val="20"/>
              </w:rPr>
              <w:t xml:space="preserve"> es lo que queda después de pagar la mercadería vendida; el </w:t>
            </w:r>
            <w:r>
              <w:rPr>
                <w:b/>
                <w:bCs/>
                <w:sz w:val="20"/>
                <w:szCs w:val="20"/>
              </w:rPr>
              <w:t xml:space="preserve">flujo operativo</w:t>
            </w:r>
            <w:r>
              <w:rPr>
                <w:sz w:val="20"/>
                <w:szCs w:val="20"/>
              </w:rPr>
              <w:t xml:space="preserve"> es lo que queda después de pagar el funcionamiento del negocio; el </w:t>
            </w:r>
            <w:r>
              <w:rPr>
                <w:b/>
                <w:bCs/>
                <w:sz w:val="20"/>
                <w:szCs w:val="20"/>
              </w:rPr>
              <w:t xml:space="preserve">flujo disponible</w:t>
            </w:r>
            <w:r>
              <w:rPr>
                <w:sz w:val="20"/>
                <w:szCs w:val="20"/>
              </w:rPr>
              <w:t xml:space="preserve"> es lo que realmente queda para pagar préstamos después de que la familia del propietario también cubre sus necesidades.</w:t>
            </w:r>
          </w:p>
        </w:tc>
      </w:tr>
    </w:tbl>
    <w:p>
      <w:pPr>
        <w:spacing w:after="120"/>
      </w:pPr>
    </w:p>
    <w:p>
      <w:pPr>
        <w:pStyle w:val="Heading2"/>
        <w:keepNext/>
      </w:pPr>
      <w:r>
        <w:t xml:space="preserve">7.4 Ciclo de conversión de efectivo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1F3864" w:sz="4"/>
              <w:left w:val="single" w:color="1F3864" w:sz="24"/>
              <w:bottom w:val="single" w:color="1F3864" w:sz="4"/>
              <w:right w:val="single" w:color="1F3864" w:sz="4"/>
            </w:tcBorders>
            <w:shd w:fill="DEEAF6" w:color="auto" w:val="clear"/>
            <w:tcMar>
              <w:top w:type="dxa" w:w="100"/>
              <w:left w:type="dxa" w:w="180"/>
              <w:bottom w:type="dxa" w:w="100"/>
              <w:right w:type="dxa" w:w="180"/>
            </w:tcMar>
          </w:tcPr>
          <w:p>
            <w:pPr>
              <w:spacing w:after="60"/>
            </w:pPr>
            <w:r>
              <w:rPr>
                <w:b/>
                <w:bCs/>
                <w:color w:val="1F3864"/>
                <w:sz w:val="20"/>
                <w:szCs w:val="20"/>
              </w:rPr>
              <w:t xml:space="preserve">Fórmula — ciclo de conversión de efectivo</w:t>
            </w:r>
          </w:p>
          <w:p>
            <w:pPr>
              <w:spacing w:after="50"/>
              <w:jc w:val="center"/>
            </w:pPr>
            <w:r>
              <w:rPr>
                <w:sz w:val="20"/>
                <w:szCs w:val="20"/>
              </w:rPr>
              <w:t xml:space="preserve">Ciclo = Días de inventario + Días de cobro − Días de pago a proveedores</w:t>
            </w:r>
          </w:p>
          <w:p>
            <w:pPr>
              <w:spacing w:after="50"/>
              <w:jc w:val="center"/>
            </w:pPr>
            <w:r>
              <w:rPr>
                <w:sz w:val="20"/>
                <w:szCs w:val="20"/>
              </w:rPr>
              <w:t xml:space="preserve">Días de inventario = Inventario ÷ Costo de ventas diario · Días de cobro = Cuentas por cobrar ÷ Ventas a crédito diarias · Días de pago = Cuentas por pagar ÷ Compras diarias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2E75B6" w:sz="4"/>
              <w:left w:val="single" w:color="2E75B6" w:sz="24"/>
              <w:bottom w:val="single" w:color="2E75B6" w:sz="4"/>
              <w:right w:val="single" w:color="2E75B6" w:sz="4"/>
            </w:tcBorders>
            <w:shd w:fill="F2F7FC" w:color="auto" w:val="clear"/>
            <w:tcMar>
              <w:top w:type="dxa" w:w="100"/>
              <w:left w:type="dxa" w:w="180"/>
              <w:bottom w:type="dxa" w:w="100"/>
              <w:right w:type="dxa" w:w="180"/>
            </w:tcMar>
          </w:tcPr>
          <w:p>
            <w:pPr>
              <w:spacing w:after="60"/>
            </w:pPr>
            <w:r>
              <w:rPr>
                <w:b/>
                <w:bCs/>
                <w:color w:val="2E75B6"/>
                <w:sz w:val="20"/>
                <w:szCs w:val="20"/>
              </w:rPr>
              <w:t xml:space="preserve">Ejemplo (datos ficticios) — interpretación del ciclo</w:t>
            </w:r>
          </w:p>
          <w:p>
            <w:pPr>
              <w:spacing w:after="50"/>
              <w:jc w:val="left"/>
            </w:pPr>
            <w:r>
              <w:rPr>
                <w:sz w:val="20"/>
                <w:szCs w:val="20"/>
              </w:rPr>
              <w:t xml:space="preserve">Días de inventario 45, días de cobro 30, días de pago 25 → ciclo = 45 + 30 − 25 = </w:t>
            </w:r>
            <w:r>
              <w:rPr>
                <w:b/>
                <w:bCs/>
                <w:sz w:val="20"/>
                <w:szCs w:val="20"/>
              </w:rPr>
              <w:t xml:space="preserve">50 días</w:t>
            </w:r>
            <w:r>
              <w:rPr>
                <w:sz w:val="20"/>
                <w:szCs w:val="20"/>
              </w:rPr>
              <w:t xml:space="preserve">.</w:t>
            </w:r>
          </w:p>
          <w:p>
            <w:pPr>
              <w:spacing w:after="50"/>
              <w:jc w:val="left"/>
            </w:pPr>
            <w:r>
              <w:rPr>
                <w:sz w:val="20"/>
                <w:szCs w:val="20"/>
              </w:rPr>
              <w:t xml:space="preserve">El negocio debe financiar 50 días de operación con recursos propios o crédito de capital de trabajo. Si el ciclo aumenta (inventario lento o cobro tardío), aumenta la necesidad de financiamiento aunque las ventas no cambien.</w:t>
            </w:r>
          </w:p>
        </w:tc>
      </w:tr>
    </w:tbl>
    <w:p>
      <w:pPr>
        <w:spacing w:after="120"/>
      </w:pPr>
    </w:p>
    <w:p>
      <w:pPr>
        <w:pStyle w:val="Heading2"/>
        <w:keepNext/>
      </w:pPr>
      <w:r>
        <w:t xml:space="preserve">7.5 Destino del crédito y coherencia con el negocio</w:t>
      </w:r>
    </w:p>
    <w:p>
      <w:pPr>
        <w:pStyle w:val="ListParagraph"/>
        <w:numPr>
          <w:ilvl w:val="0"/>
          <w:numId w:val="15"/>
        </w:numPr>
        <w:spacing w:after="60"/>
        <w:jc w:val="left"/>
      </w:pPr>
      <w:r>
        <w:rPr>
          <w:b/>
          <w:bCs/>
        </w:rPr>
        <w:t xml:space="preserve">Capital de trabajo:</w:t>
      </w:r>
      <w:r>
        <w:t xml:space="preserve"> su plazo debe ser coherente con el ciclo del negocio; financiar capital de trabajo a plazos muy largos puede ocultar problemas de liquidez.</w:t>
      </w:r>
    </w:p>
    <w:p>
      <w:pPr>
        <w:pStyle w:val="ListParagraph"/>
        <w:numPr>
          <w:ilvl w:val="0"/>
          <w:numId w:val="15"/>
        </w:numPr>
        <w:spacing w:after="60"/>
        <w:jc w:val="left"/>
      </w:pPr>
      <w:r>
        <w:rPr>
          <w:b/>
          <w:bCs/>
        </w:rPr>
        <w:t xml:space="preserve">Activo fijo:</w:t>
      </w:r>
      <w:r>
        <w:t xml:space="preserve"> el plazo debe guardar relación con la vida útil del bien y con el período en que genera ingresos.</w:t>
      </w:r>
    </w:p>
    <w:p>
      <w:pPr>
        <w:pStyle w:val="ListParagraph"/>
        <w:numPr>
          <w:ilvl w:val="0"/>
          <w:numId w:val="15"/>
        </w:numPr>
        <w:spacing w:after="60"/>
        <w:jc w:val="left"/>
      </w:pPr>
      <w:r>
        <w:rPr>
          <w:b/>
          <w:bCs/>
        </w:rPr>
        <w:t xml:space="preserve">Consolidación de deudas:</w:t>
      </w:r>
      <w:r>
        <w:t xml:space="preserve"> debe verificarse que efectivamente se cancelen las deudas consolidadas (pago directo a acreedores).</w:t>
      </w:r>
    </w:p>
    <w:p>
      <w:pPr>
        <w:pStyle w:val="ListParagraph"/>
        <w:numPr>
          <w:ilvl w:val="0"/>
          <w:numId w:val="15"/>
        </w:numPr>
        <w:spacing w:after="60"/>
        <w:jc w:val="left"/>
      </w:pPr>
      <w:r>
        <w:rPr>
          <w:b/>
          <w:bCs/>
        </w:rPr>
        <w:t xml:space="preserve">Destino no productivo en crédito empresarial:</w:t>
      </w:r>
      <w:r>
        <w:t xml:space="preserve"> requiere justificación, porque no genera flujo adicional.</w:t>
      </w:r>
    </w:p>
    <w:p>
      <w:pPr>
        <w:pStyle w:val="Heading1"/>
        <w:pageBreakBefore/>
      </w:pPr>
      <w:r>
        <w:t xml:space="preserve">Capítulo 8. Factores de industria y económicos</w:t>
      </w:r>
    </w:p>
    <w:p>
      <w:pPr>
        <w:keepNext w:val="false"/>
        <w:spacing w:after="120" w:before="0"/>
        <w:jc w:val="both"/>
      </w:pPr>
      <w:r>
        <w:rPr>
          <w:i/>
          <w:iCs/>
        </w:rPr>
        <w:t xml:space="preserve">Desarrolla el apartado original 7: «Consideración de la industria y los factores económicos».</w:t>
      </w:r>
    </w:p>
    <w:p>
      <w:pPr>
        <w:pStyle w:val="Heading2"/>
        <w:keepNext/>
      </w:pPr>
      <w:r>
        <w:t xml:space="preserve">8.1 Por qué el entorno importa</w:t>
      </w:r>
    </w:p>
    <w:p>
      <w:pPr>
        <w:keepNext w:val="false"/>
        <w:spacing w:after="120" w:before="0"/>
        <w:jc w:val="both"/>
      </w:pPr>
      <w:r>
        <w:t xml:space="preserve">La capacidad de pago de un deudor no depende solo de él. Cambios en precios, tasas de interés, empleo, demanda o costos pueden afectar sus ingresos y gastos. El análisis del entorno ayuda a </w:t>
      </w:r>
      <w:r>
        <w:rPr>
          <w:b/>
          <w:bCs/>
        </w:rPr>
        <w:t xml:space="preserve">definir escenarios adversos realistas</w:t>
      </w:r>
      <w:r>
        <w:t xml:space="preserve"> y a gestionar la </w:t>
      </w:r>
      <w:r>
        <w:rPr>
          <w:b/>
          <w:bCs/>
        </w:rPr>
        <w:t xml:space="preserve">concentración</w:t>
      </w:r>
      <w:r>
        <w:t xml:space="preserve"> de la cartera en sectores o zonas expuestas a los mismos riesgos.</w:t>
      </w:r>
    </w:p>
    <w:p>
      <w:pPr>
        <w:pStyle w:val="Heading2"/>
        <w:keepNext/>
      </w:pPr>
      <w:r>
        <w:t xml:space="preserve">8.2 Factores generales del país frente a riesgos específicos del solicitante</w:t>
      </w:r>
    </w:p>
    <w:p>
      <w:pPr>
        <w:keepNext/>
        <w:spacing w:after="60" w:before="120"/>
      </w:pPr>
      <w:r>
        <w:rPr>
          <w:b/>
          <w:bCs/>
          <w:color w:val="1F3864"/>
          <w:sz w:val="19"/>
          <w:szCs w:val="19"/>
        </w:rPr>
        <w:t xml:space="preserve">Tabla 8.1. Factores generales y específicos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cantSplit/>
          <w:tblHeader/>
        </w:trPr>
        <w:tc>
          <w:tcPr>
            <w:tcW w:type="dxa" w:w="468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Factores generales (afectan a muchos deudores)</w:t>
            </w:r>
          </w:p>
        </w:tc>
        <w:tc>
          <w:tcPr>
            <w:tcW w:type="dxa" w:w="468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Riesgos específicos (propios del solicitante)</w:t>
            </w:r>
          </w:p>
        </w:tc>
      </w:tr>
      <w:tr>
        <w:trPr>
          <w:cantSplit/>
        </w:trPr>
        <w:tc>
          <w:tcPr>
            <w:tcW w:type="dxa" w:w="468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Inflación y costo de vida</w:t>
            </w:r>
          </w:p>
        </w:tc>
        <w:tc>
          <w:tcPr>
            <w:tcW w:type="dxa" w:w="468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Pérdida del empleo o del principal cliente</w:t>
            </w:r>
          </w:p>
        </w:tc>
      </w:tr>
      <w:tr>
        <w:trPr>
          <w:cantSplit/>
        </w:trPr>
        <w:tc>
          <w:tcPr>
            <w:tcW w:type="dxa" w:w="468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Tasas de interés del mercado</w:t>
            </w:r>
          </w:p>
        </w:tc>
        <w:tc>
          <w:tcPr>
            <w:tcW w:type="dxa" w:w="468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Mala gestión del negocio</w:t>
            </w:r>
          </w:p>
        </w:tc>
      </w:tr>
      <w:tr>
        <w:trPr>
          <w:cantSplit/>
        </w:trPr>
        <w:tc>
          <w:tcPr>
            <w:tcW w:type="dxa" w:w="468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Nivel de empleo y actividad económica</w:t>
            </w:r>
          </w:p>
        </w:tc>
        <w:tc>
          <w:tcPr>
            <w:tcW w:type="dxa" w:w="468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Problemas de salud o familiares</w:t>
            </w:r>
          </w:p>
        </w:tc>
      </w:tr>
      <w:tr>
        <w:trPr>
          <w:cantSplit/>
        </w:trPr>
        <w:tc>
          <w:tcPr>
            <w:tcW w:type="dxa" w:w="468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Flujo de remesas</w:t>
            </w:r>
          </w:p>
        </w:tc>
        <w:tc>
          <w:tcPr>
            <w:tcW w:type="dxa" w:w="468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Sobreendeudamiento personal</w:t>
            </w:r>
          </w:p>
        </w:tc>
      </w:tr>
      <w:tr>
        <w:trPr>
          <w:cantSplit/>
        </w:trPr>
        <w:tc>
          <w:tcPr>
            <w:tcW w:type="dxa" w:w="468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Costos de energía, combustibles y materias primas</w:t>
            </w:r>
          </w:p>
        </w:tc>
        <w:tc>
          <w:tcPr>
            <w:tcW w:type="dxa" w:w="468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Dependencia de un solo producto o proveedor</w:t>
            </w:r>
          </w:p>
        </w:tc>
      </w:tr>
      <w:tr>
        <w:trPr>
          <w:cantSplit/>
        </w:trPr>
        <w:tc>
          <w:tcPr>
            <w:tcW w:type="dxa" w:w="468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Fenómenos naturales y climáticos</w:t>
            </w:r>
          </w:p>
        </w:tc>
        <w:tc>
          <w:tcPr>
            <w:tcW w:type="dxa" w:w="468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Ubicación del negocio expuesta a riesgos locales</w:t>
            </w:r>
          </w:p>
        </w:tc>
      </w:tr>
      <w:tr>
        <w:trPr>
          <w:cantSplit/>
        </w:trPr>
        <w:tc>
          <w:tcPr>
            <w:tcW w:type="dxa" w:w="468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Cambios regulatorios o tributarios</w:t>
            </w:r>
          </w:p>
        </w:tc>
        <w:tc>
          <w:tcPr>
            <w:tcW w:type="dxa" w:w="468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Informalidad o incumplimiento de permisos</w:t>
            </w:r>
          </w:p>
        </w:tc>
      </w:tr>
    </w:tbl>
    <w:p>
      <w:pPr>
        <w:spacing w:after="120"/>
      </w:pPr>
    </w:p>
    <w:p>
      <w:pPr>
        <w:pStyle w:val="Heading2"/>
        <w:keepNext/>
      </w:pPr>
      <w:r>
        <w:t xml:space="preserve">8.3 Indicadores económicos recientes de El Salvador</w:t>
      </w:r>
    </w:p>
    <w:p>
      <w:pPr>
        <w:keepNext w:val="false"/>
        <w:spacing w:after="120" w:before="0"/>
        <w:jc w:val="both"/>
      </w:pPr>
      <w:r>
        <w:t xml:space="preserve">Los datos siguientes se presentan como referencia de contexto. Deben actualizarse al momento de cada análisis consultando directamente las publicaciones del BCR (bcr.gob.sv) y de la Oficina Nacional de Estadística y Censos u otras fuentes oficiales.</w:t>
      </w:r>
    </w:p>
    <w:p>
      <w:pPr>
        <w:keepNext/>
        <w:spacing w:after="60" w:before="120"/>
      </w:pPr>
      <w:r>
        <w:rPr>
          <w:b/>
          <w:bCs/>
          <w:color w:val="1F3864"/>
          <w:sz w:val="19"/>
          <w:szCs w:val="19"/>
        </w:rPr>
        <w:t xml:space="preserve">Tabla 8.2. Contexto macroeconómico (verificar actualización antes de usar)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2059"/>
        <w:gridCol w:w="1123"/>
        <w:gridCol w:w="2620"/>
        <w:gridCol w:w="1312"/>
      </w:tblGrid>
      <w:tr>
        <w:trPr>
          <w:cantSplit/>
          <w:tblHeader/>
        </w:trPr>
        <w:tc>
          <w:tcPr>
            <w:tcW w:type="dxa" w:w="224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Indicador</w:t>
            </w:r>
          </w:p>
        </w:tc>
        <w:tc>
          <w:tcPr>
            <w:tcW w:type="dxa" w:w="205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Valor</w:t>
            </w:r>
          </w:p>
        </w:tc>
        <w:tc>
          <w:tcPr>
            <w:tcW w:type="dxa" w:w="1123"/>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Período</w:t>
            </w:r>
          </w:p>
        </w:tc>
        <w:tc>
          <w:tcPr>
            <w:tcW w:type="dxa" w:w="262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Fuente</w:t>
            </w:r>
          </w:p>
        </w:tc>
        <w:tc>
          <w:tcPr>
            <w:tcW w:type="dxa" w:w="131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Fecha de consulta</w:t>
            </w:r>
          </w:p>
        </w:tc>
      </w:tr>
      <w:tr>
        <w:trPr>
          <w:cantSplit/>
        </w:trPr>
        <w:tc>
          <w:tcPr>
            <w:tcW w:type="dxa" w:w="224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Crecimiento real del PIB</w:t>
            </w:r>
          </w:p>
        </w:tc>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3.9 %</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Año 2025</w:t>
            </w:r>
          </w:p>
        </w:tc>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BCR, comunicado del 27/03/2026</w:t>
            </w:r>
          </w:p>
        </w:tc>
        <w:tc>
          <w:tcPr>
            <w:tcW w:type="dxa" w:w="131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27/10/2026</w:t>
            </w:r>
          </w:p>
        </w:tc>
      </w:tr>
      <w:tr>
        <w:trPr>
          <w:cantSplit/>
        </w:trPr>
        <w:tc>
          <w:tcPr>
            <w:tcW w:type="dxa" w:w="224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PIB nominal estimado</w:t>
            </w:r>
          </w:p>
        </w:tc>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US$36,708.1 millones</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Año 2025</w:t>
            </w:r>
          </w:p>
        </w:tc>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BCR, comunicado del 27/03/2026 (según reportes de prensa)</w:t>
            </w:r>
          </w:p>
        </w:tc>
        <w:tc>
          <w:tcPr>
            <w:tcW w:type="dxa" w:w="131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27/10/2026</w:t>
            </w:r>
          </w:p>
        </w:tc>
      </w:tr>
      <w:tr>
        <w:trPr>
          <w:cantSplit/>
        </w:trPr>
        <w:tc>
          <w:tcPr>
            <w:tcW w:type="dxa" w:w="224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Crecimiento trimestral del PIB</w:t>
            </w:r>
          </w:p>
        </w:tc>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I: 2.6 %; II: 4.0 %; III: 5.2 %; IV: 3.8 %</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2025</w:t>
            </w:r>
          </w:p>
        </w:tc>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BCR (según reportes de prensa)</w:t>
            </w:r>
          </w:p>
        </w:tc>
        <w:tc>
          <w:tcPr>
            <w:tcW w:type="dxa" w:w="131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27/10/2026</w:t>
            </w:r>
          </w:p>
        </w:tc>
      </w:tr>
      <w:tr>
        <w:trPr>
          <w:cantSplit/>
        </w:trPr>
        <w:tc>
          <w:tcPr>
            <w:tcW w:type="dxa" w:w="224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Sector más dinámico</w:t>
            </w:r>
          </w:p>
        </w:tc>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Construcción: 24.41 %</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2025</w:t>
            </w:r>
          </w:p>
        </w:tc>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BCR (según reportes de prensa)</w:t>
            </w:r>
          </w:p>
        </w:tc>
        <w:tc>
          <w:tcPr>
            <w:tcW w:type="dxa" w:w="131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27/10/2026</w:t>
            </w:r>
          </w:p>
        </w:tc>
      </w:tr>
      <w:tr>
        <w:trPr>
          <w:cantSplit/>
        </w:trPr>
        <w:tc>
          <w:tcPr>
            <w:tcW w:type="dxa" w:w="224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Inflación promedio anual (IPC)</w:t>
            </w:r>
          </w:p>
        </w:tc>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0.93 %</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2025</w:t>
            </w:r>
          </w:p>
        </w:tc>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BCR (según Diario El Salvador); las fuentes muestran variaciones según se trate de promedio o interanual</w:t>
            </w:r>
          </w:p>
        </w:tc>
        <w:tc>
          <w:tcPr>
            <w:tcW w:type="dxa" w:w="131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27/10/2026</w:t>
            </w:r>
          </w:p>
        </w:tc>
      </w:tr>
      <w:tr>
        <w:trPr>
          <w:cantSplit/>
        </w:trPr>
        <w:tc>
          <w:tcPr>
            <w:tcW w:type="dxa" w:w="224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Remesas familiares</w:t>
            </w:r>
          </w:p>
        </w:tc>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US$9,987 millones (+17.8 %)</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2025</w:t>
            </w:r>
          </w:p>
        </w:tc>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Reportes de prensa con base en datos del BCR</w:t>
            </w:r>
          </w:p>
        </w:tc>
        <w:tc>
          <w:tcPr>
            <w:tcW w:type="dxa" w:w="131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27/10/2026</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77C02" w:sz="4"/>
              <w:left w:val="single" w:color="C77C02" w:sz="24"/>
              <w:bottom w:val="single" w:color="C77C02" w:sz="4"/>
              <w:right w:val="single" w:color="C77C02" w:sz="4"/>
            </w:tcBorders>
            <w:shd w:fill="FFF4E0" w:color="auto" w:val="clear"/>
            <w:tcMar>
              <w:top w:type="dxa" w:w="100"/>
              <w:left w:type="dxa" w:w="180"/>
              <w:bottom w:type="dxa" w:w="100"/>
              <w:right w:type="dxa" w:w="180"/>
            </w:tcMar>
          </w:tcPr>
          <w:p>
            <w:pPr>
              <w:spacing w:after="60"/>
            </w:pPr>
            <w:r>
              <w:rPr>
                <w:b/>
                <w:bCs/>
                <w:color w:val="C77C02"/>
                <w:sz w:val="20"/>
                <w:szCs w:val="20"/>
              </w:rPr>
              <w:t xml:space="preserve">Advertencia sobre las fuentes estadísticas</w:t>
            </w:r>
          </w:p>
          <w:p>
            <w:pPr>
              <w:spacing w:after="50"/>
              <w:jc w:val="left"/>
            </w:pPr>
            <w:r>
              <w:rPr>
                <w:sz w:val="20"/>
                <w:szCs w:val="20"/>
              </w:rPr>
              <w:t xml:space="preserve">Algunas cifras de la Tabla 8.2 se obtuvieron de medios que citan al BCR porque el portal oficial no pudo consultarse directamente desde el entorno de elaboración. </w:t>
            </w:r>
            <w:r>
              <w:rPr>
                <w:b/>
                <w:bCs/>
                <w:sz w:val="20"/>
                <w:szCs w:val="20"/>
              </w:rPr>
              <w:t xml:space="preserve">Antes de incorporarlas en un informe, verifíquelas en la fuente primaria.</w:t>
            </w:r>
          </w:p>
        </w:tc>
      </w:tr>
    </w:tbl>
    <w:p>
      <w:pPr>
        <w:spacing w:after="120"/>
      </w:pPr>
    </w:p>
    <w:p>
      <w:pPr>
        <w:pStyle w:val="Heading2"/>
        <w:keepNext/>
      </w:pPr>
      <w:r>
        <w:t xml:space="preserve">8.4 Cómo trasladar el entorno al análisis individual</w:t>
      </w:r>
    </w:p>
    <w:p>
      <w:pPr>
        <w:pStyle w:val="ListParagraph"/>
        <w:numPr>
          <w:ilvl w:val="0"/>
          <w:numId w:val="16"/>
        </w:numPr>
        <w:spacing w:after="60"/>
        <w:jc w:val="left"/>
      </w:pPr>
      <w:r>
        <w:rPr>
          <w:b/>
          <w:bCs/>
        </w:rPr>
        <w:t xml:space="preserve">Identificar</w:t>
      </w:r>
      <w:r>
        <w:t xml:space="preserve"> qué variables económicas afectan los ingresos y gastos del solicitante (por ejemplo, un importador es sensible al costo de fletes; un hogar dependiente de remesas, a la situación del país emisor).</w:t>
      </w:r>
    </w:p>
    <w:p>
      <w:pPr>
        <w:pStyle w:val="ListParagraph"/>
        <w:numPr>
          <w:ilvl w:val="0"/>
          <w:numId w:val="16"/>
        </w:numPr>
        <w:spacing w:after="60"/>
        <w:jc w:val="left"/>
      </w:pPr>
      <w:r>
        <w:rPr>
          <w:b/>
          <w:bCs/>
        </w:rPr>
        <w:t xml:space="preserve">Buscar evidencia</w:t>
      </w:r>
      <w:r>
        <w:t xml:space="preserve"> de esa sensibilidad: comportamiento del negocio en períodos anteriores, estadísticas del sector, información de la cartera de la institución.</w:t>
      </w:r>
    </w:p>
    <w:p>
      <w:pPr>
        <w:pStyle w:val="ListParagraph"/>
        <w:numPr>
          <w:ilvl w:val="0"/>
          <w:numId w:val="16"/>
        </w:numPr>
        <w:spacing w:after="60"/>
        <w:jc w:val="left"/>
      </w:pPr>
      <w:r>
        <w:rPr>
          <w:b/>
          <w:bCs/>
        </w:rPr>
        <w:t xml:space="preserve">Traducir</w:t>
      </w:r>
      <w:r>
        <w:t xml:space="preserve"> la sensibilidad en un escenario adverso cuantificado (Capítulo 4).</w:t>
      </w:r>
    </w:p>
    <w:p>
      <w:pPr>
        <w:pStyle w:val="ListParagraph"/>
        <w:numPr>
          <w:ilvl w:val="0"/>
          <w:numId w:val="16"/>
        </w:numPr>
        <w:spacing w:after="60"/>
        <w:jc w:val="left"/>
      </w:pPr>
      <w:r>
        <w:rPr>
          <w:b/>
          <w:bCs/>
        </w:rPr>
        <w:t xml:space="preserve">Documentar</w:t>
      </w:r>
      <w:r>
        <w:t xml:space="preserve"> la fuente y fecha de los datos usados.</w:t>
      </w:r>
    </w:p>
    <w:p>
      <w:pPr>
        <w:pStyle w:val="ListParagraph"/>
        <w:numPr>
          <w:ilvl w:val="0"/>
          <w:numId w:val="16"/>
        </w:numPr>
        <w:spacing w:after="60"/>
        <w:jc w:val="left"/>
      </w:pPr>
      <w:r>
        <w:rPr>
          <w:b/>
          <w:bCs/>
        </w:rPr>
        <w:t xml:space="preserve">No atribuir</w:t>
      </w:r>
      <w:r>
        <w:t xml:space="preserve"> riesgos a una actividad económica sin evidencia: calificar un sector como «de alto riesgo» requiere datos (mora sectorial, volatilidad de ventas, estudios), no percepciones.</w:t>
      </w:r>
    </w:p>
    <w:p>
      <w:pPr>
        <w:pStyle w:val="Heading2"/>
        <w:keepNext/>
      </w:pPr>
      <w:r>
        <w:t xml:space="preserve">8.5 Concentración sectorial y geográfica</w:t>
      </w:r>
    </w:p>
    <w:p>
      <w:pPr>
        <w:keepNext w:val="false"/>
        <w:spacing w:after="120" w:before="0"/>
        <w:jc w:val="both"/>
      </w:pPr>
      <w:r>
        <w:t xml:space="preserve">A nivel de cartera, la institución debe vigilar que una proporción excesiva de sus créditos no dependa de un mismo sector, zona geográfica, empleador o grupo económico. La NPB4-49 trata la gestión del riesgo de concentración para las entidades sujetas a ella; los límites concretos dependen de la norma aplicable y de las políticas aprobadas. En la evaluación individual, el analista debe señalar cuándo una nueva operación </w:t>
      </w:r>
      <w:r>
        <w:rPr>
          <w:b/>
          <w:bCs/>
        </w:rPr>
        <w:t xml:space="preserve">aumenta</w:t>
      </w:r>
      <w:r>
        <w:t xml:space="preserve"> una concentración ya relevante (por ejemplo, muchos deudores empleados por la misma empresa).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2E75B6" w:sz="4"/>
              <w:left w:val="single" w:color="2E75B6" w:sz="24"/>
              <w:bottom w:val="single" w:color="2E75B6" w:sz="4"/>
              <w:right w:val="single" w:color="2E75B6" w:sz="4"/>
            </w:tcBorders>
            <w:shd w:fill="F2F7FC" w:color="auto" w:val="clear"/>
            <w:tcMar>
              <w:top w:type="dxa" w:w="100"/>
              <w:left w:type="dxa" w:w="180"/>
              <w:bottom w:type="dxa" w:w="100"/>
              <w:right w:type="dxa" w:w="180"/>
            </w:tcMar>
          </w:tcPr>
          <w:p>
            <w:pPr>
              <w:spacing w:after="60"/>
            </w:pPr>
            <w:r>
              <w:rPr>
                <w:b/>
                <w:bCs/>
                <w:color w:val="2E75B6"/>
                <w:sz w:val="20"/>
                <w:szCs w:val="20"/>
              </w:rPr>
              <w:t xml:space="preserve">Ejemplo (datos ficticios) — traslado de un factor económico a un escenario</w:t>
            </w:r>
          </w:p>
          <w:p>
            <w:pPr>
              <w:spacing w:after="50"/>
              <w:jc w:val="left"/>
            </w:pPr>
            <w:r>
              <w:rPr>
                <w:sz w:val="20"/>
                <w:szCs w:val="20"/>
              </w:rPr>
              <w:t xml:space="preserve">Hogar con ingresos de US$900 de salario y US$300 de remesas. La política institucional considera las remesas como fuente menos estable.</w:t>
            </w:r>
          </w:p>
          <w:p>
            <w:pPr>
              <w:spacing w:after="50"/>
              <w:jc w:val="left"/>
            </w:pPr>
            <w:r>
              <w:rPr>
                <w:sz w:val="20"/>
                <w:szCs w:val="20"/>
              </w:rPr>
              <w:t xml:space="preserve">Escenario adverso: remesas −50 % → ingreso total 900 + 150 = US$1,050 (en lugar de US$1,200).</w:t>
            </w:r>
          </w:p>
          <w:p>
            <w:pPr>
              <w:spacing w:after="50"/>
              <w:jc w:val="left"/>
            </w:pPr>
            <w:r>
              <w:rPr>
                <w:sz w:val="20"/>
                <w:szCs w:val="20"/>
              </w:rPr>
              <w:t xml:space="preserve">Si con US$1,050 la capacidad residual sigue siendo positiva, la operación es resistente a ese riesgo; si no, se condiciona o se reduce el monto.</w:t>
            </w:r>
          </w:p>
        </w:tc>
      </w:tr>
    </w:tbl>
    <w:p>
      <w:pPr>
        <w:spacing w:after="120"/>
      </w:pPr>
    </w:p>
    <w:p>
      <w:pPr>
        <w:pStyle w:val="Heading1"/>
        <w:pageBreakBefore/>
      </w:pPr>
      <w:r>
        <w:t xml:space="preserve">Capítulo 9. Identificación, medición y mitigación de riesgos</w:t>
      </w:r>
    </w:p>
    <w:p>
      <w:pPr>
        <w:keepNext w:val="false"/>
        <w:spacing w:after="120" w:before="0"/>
        <w:jc w:val="both"/>
      </w:pPr>
      <w:r>
        <w:rPr>
          <w:i/>
          <w:iCs/>
        </w:rPr>
        <w:t xml:space="preserve">Desarrolla, junto con el Capítulo 10, el apartado original 8: «Cálculo de la solvencia o perfil de riesgo crediticio del prestatario».</w:t>
      </w:r>
    </w:p>
    <w:p>
      <w:pPr>
        <w:pStyle w:val="Heading2"/>
        <w:keepNext/>
      </w:pPr>
      <w:r>
        <w:t xml:space="preserve">9.1 Enfoque metodológico</w:t>
      </w:r>
    </w:p>
    <w:p>
      <w:pPr>
        <w:keepNext w:val="false"/>
        <w:spacing w:after="120" w:before="0"/>
        <w:jc w:val="both"/>
      </w:pPr>
      <w:r>
        <w:t xml:space="preserve">Gestionar riesgos en una operación de crédito significa </w:t>
      </w:r>
      <w:r>
        <w:rPr>
          <w:b/>
          <w:bCs/>
        </w:rPr>
        <w:t xml:space="preserve">identificar</w:t>
      </w:r>
      <w:r>
        <w:t xml:space="preserve"> qué puede salir mal, </w:t>
      </w:r>
      <w:r>
        <w:rPr>
          <w:b/>
          <w:bCs/>
        </w:rPr>
        <w:t xml:space="preserve">medir</w:t>
      </w:r>
      <w:r>
        <w:t xml:space="preserve"> qué tan probable es y qué tanto afectaría, </w:t>
      </w:r>
      <w:r>
        <w:rPr>
          <w:b/>
          <w:bCs/>
        </w:rPr>
        <w:t xml:space="preserve">evaluar</w:t>
      </w:r>
      <w:r>
        <w:t xml:space="preserve"> si los controles existentes lo reducen y </w:t>
      </w:r>
      <w:r>
        <w:rPr>
          <w:b/>
          <w:bCs/>
        </w:rPr>
        <w:t xml:space="preserve">decidir</w:t>
      </w:r>
      <w:r>
        <w:t xml:space="preserve"> qué acciones adicionales se requieren. El resultado es el </w:t>
      </w:r>
      <w:r>
        <w:rPr>
          <w:b/>
          <w:bCs/>
        </w:rPr>
        <w:t xml:space="preserve">riesgo residual</w:t>
      </w:r>
      <w:r>
        <w:t xml:space="preserve">, que es el que la institución realmente asume.</w:t>
      </w:r>
    </w:p>
    <w:p>
      <w:pPr>
        <w:pStyle w:val="Heading2"/>
        <w:keepNext/>
      </w:pPr>
      <w:r>
        <w:t xml:space="preserve">9.2 Riesgos que deben evaluarse como mínimo</w:t>
      </w:r>
    </w:p>
    <w:p>
      <w:pPr>
        <w:keepNext/>
        <w:spacing w:after="60" w:before="120"/>
      </w:pPr>
      <w:r>
        <w:rPr>
          <w:b/>
          <w:bCs/>
          <w:color w:val="1F3864"/>
          <w:sz w:val="19"/>
          <w:szCs w:val="19"/>
        </w:rPr>
        <w:t xml:space="preserve">Tabla 9.1. Riesgos mínimos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6552"/>
      </w:tblGrid>
      <w:tr>
        <w:trPr>
          <w:cantSplit/>
          <w:tblHeader/>
        </w:trPr>
        <w:tc>
          <w:tcPr>
            <w:tcW w:type="dxa" w:w="2808"/>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Riesgo</w:t>
            </w:r>
          </w:p>
        </w:tc>
        <w:tc>
          <w:tcPr>
            <w:tcW w:type="dxa" w:w="655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Descripción sencilla</w:t>
            </w:r>
          </w:p>
        </w:tc>
      </w:tr>
      <w:tr>
        <w:trPr>
          <w:cantSplit/>
        </w:trPr>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Incumplimiento</w:t>
            </w:r>
          </w:p>
        </w:tc>
        <w:tc>
          <w:tcPr>
            <w:tcW w:type="dxa" w:w="65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Que el deudor no pague, pague parcialmente o pague tarde.</w:t>
            </w:r>
          </w:p>
        </w:tc>
      </w:tr>
      <w:tr>
        <w:trPr>
          <w:cantSplit/>
        </w:trPr>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Sobreendeudamiento</w:t>
            </w:r>
          </w:p>
        </w:tc>
        <w:tc>
          <w:tcPr>
            <w:tcW w:type="dxa" w:w="65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Que el total de deudas supere lo que el deudor puede pagar.</w:t>
            </w:r>
          </w:p>
        </w:tc>
      </w:tr>
      <w:tr>
        <w:trPr>
          <w:cantSplit/>
        </w:trPr>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Ingresos insuficientes</w:t>
            </w:r>
          </w:p>
        </w:tc>
        <w:tc>
          <w:tcPr>
            <w:tcW w:type="dxa" w:w="65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Que el ingreso real no alcance para la cuota y los gastos.</w:t>
            </w:r>
          </w:p>
        </w:tc>
      </w:tr>
      <w:tr>
        <w:trPr>
          <w:cantSplit/>
        </w:trPr>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Ingresos variables</w:t>
            </w:r>
          </w:p>
        </w:tc>
        <w:tc>
          <w:tcPr>
            <w:tcW w:type="dxa" w:w="65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Que haya meses en que el ingreso no alcance.</w:t>
            </w:r>
          </w:p>
        </w:tc>
      </w:tr>
      <w:tr>
        <w:trPr>
          <w:cantSplit/>
        </w:trPr>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Dependencia de una sola fuente</w:t>
            </w:r>
          </w:p>
        </w:tc>
        <w:tc>
          <w:tcPr>
            <w:tcW w:type="dxa" w:w="65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Que la pérdida de una fuente deje al deudor sin capacidad.</w:t>
            </w:r>
          </w:p>
        </w:tc>
      </w:tr>
      <w:tr>
        <w:trPr>
          <w:cantSplit/>
        </w:trPr>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Información falsa o inconsistente</w:t>
            </w:r>
          </w:p>
        </w:tc>
        <w:tc>
          <w:tcPr>
            <w:tcW w:type="dxa" w:w="65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Que la decisión se base en datos que no son reales.</w:t>
            </w:r>
          </w:p>
        </w:tc>
      </w:tr>
      <w:tr>
        <w:trPr>
          <w:cantSplit/>
        </w:trPr>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Fraude</w:t>
            </w:r>
          </w:p>
        </w:tc>
        <w:tc>
          <w:tcPr>
            <w:tcW w:type="dxa" w:w="65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Engaño deliberado: suplantación, documentos falsos, colusión.</w:t>
            </w:r>
          </w:p>
        </w:tc>
      </w:tr>
      <w:tr>
        <w:trPr>
          <w:cantSplit/>
        </w:trPr>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Garantía</w:t>
            </w:r>
          </w:p>
        </w:tc>
        <w:tc>
          <w:tcPr>
            <w:tcW w:type="dxa" w:w="65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Que la garantía valga menos o sea más difícil de ejecutar de lo esperado.</w:t>
            </w:r>
          </w:p>
        </w:tc>
      </w:tr>
      <w:tr>
        <w:trPr>
          <w:cantSplit/>
        </w:trPr>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Jurídico y documental</w:t>
            </w:r>
          </w:p>
        </w:tc>
        <w:tc>
          <w:tcPr>
            <w:tcW w:type="dxa" w:w="65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Que contratos o garantías tengan defectos legales.</w:t>
            </w:r>
          </w:p>
        </w:tc>
      </w:tr>
      <w:tr>
        <w:trPr>
          <w:cantSplit/>
        </w:trPr>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Operacional</w:t>
            </w:r>
          </w:p>
        </w:tc>
        <w:tc>
          <w:tcPr>
            <w:tcW w:type="dxa" w:w="65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Errores de personas, procesos o sistemas en la evaluación o el desembolso.</w:t>
            </w:r>
          </w:p>
        </w:tc>
      </w:tr>
      <w:tr>
        <w:trPr>
          <w:cantSplit/>
        </w:trPr>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Económico externo</w:t>
            </w:r>
          </w:p>
        </w:tc>
        <w:tc>
          <w:tcPr>
            <w:tcW w:type="dxa" w:w="65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Que el entorno económico deteriore la capacidad de pago.</w:t>
            </w:r>
          </w:p>
        </w:tc>
      </w:tr>
      <w:tr>
        <w:trPr>
          <w:cantSplit/>
        </w:trPr>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Concentración de exposición</w:t>
            </w:r>
          </w:p>
        </w:tc>
        <w:tc>
          <w:tcPr>
            <w:tcW w:type="dxa" w:w="65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Que muchos créditos dependan del mismo factor de riesgo.</w:t>
            </w:r>
          </w:p>
        </w:tc>
      </w:tr>
    </w:tbl>
    <w:p>
      <w:pPr>
        <w:spacing w:after="120"/>
      </w:pPr>
    </w:p>
    <w:p>
      <w:pPr>
        <w:pStyle w:val="Heading2"/>
        <w:keepNext/>
      </w:pPr>
      <w:r>
        <w:t xml:space="preserve">9.3 Escalas propuestas de probabilidad e impacto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77C02" w:sz="4"/>
              <w:left w:val="single" w:color="C77C02" w:sz="24"/>
              <w:bottom w:val="single" w:color="C77C02" w:sz="4"/>
              <w:right w:val="single" w:color="C77C02" w:sz="4"/>
            </w:tcBorders>
            <w:shd w:fill="FFF4E0" w:color="auto" w:val="clear"/>
            <w:tcMar>
              <w:top w:type="dxa" w:w="100"/>
              <w:left w:type="dxa" w:w="180"/>
              <w:bottom w:type="dxa" w:w="100"/>
              <w:right w:type="dxa" w:w="180"/>
            </w:tcMar>
          </w:tcPr>
          <w:p>
            <w:pPr>
              <w:spacing w:after="60"/>
            </w:pPr>
            <w:r>
              <w:rPr>
                <w:b/>
                <w:bCs/>
                <w:color w:val="C77C02"/>
                <w:sz w:val="20"/>
                <w:szCs w:val="20"/>
              </w:rPr>
              <w:t xml:space="preserve">Nota metodológica</w:t>
            </w:r>
          </w:p>
          <w:p>
            <w:pPr>
              <w:spacing w:after="50"/>
              <w:jc w:val="left"/>
            </w:pPr>
            <w:r>
              <w:rPr>
                <w:sz w:val="20"/>
                <w:szCs w:val="20"/>
              </w:rPr>
              <w:t xml:space="preserve">Las escalas siguientes son una </w:t>
            </w:r>
            <w:r>
              <w:rPr>
                <w:b/>
                <w:bCs/>
                <w:sz w:val="20"/>
                <w:szCs w:val="20"/>
              </w:rPr>
              <w:t xml:space="preserve">metodología orientativa</w:t>
            </w:r>
            <w:r>
              <w:rPr>
                <w:sz w:val="20"/>
                <w:szCs w:val="20"/>
              </w:rPr>
              <w:t xml:space="preserve">. No existe una escala universal obligatoria; cada institución debe adaptarla y aprobarla conforme a su marco de gestión integral de riesgos (por ejemplo, el exigido por la NRP-20 a las entidades sujetas a ella).</w:t>
            </w:r>
          </w:p>
        </w:tc>
      </w:tr>
    </w:tbl>
    <w:p>
      <w:pPr>
        <w:spacing w:after="120"/>
      </w:pPr>
    </w:p>
    <w:p>
      <w:pPr>
        <w:keepNext/>
        <w:spacing w:after="60" w:before="120"/>
      </w:pPr>
      <w:r>
        <w:rPr>
          <w:b/>
          <w:bCs/>
          <w:color w:val="1F3864"/>
          <w:sz w:val="19"/>
          <w:szCs w:val="19"/>
        </w:rPr>
        <w:t xml:space="preserve">Tabla 9.2. Escala de probabilidad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1872"/>
        <w:gridCol w:w="6552"/>
      </w:tblGrid>
      <w:tr>
        <w:trPr>
          <w:cantSplit/>
          <w:tblHeader/>
        </w:trPr>
        <w:tc>
          <w:tcPr>
            <w:tcW w:type="dxa" w:w="93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Nivel</w:t>
            </w:r>
          </w:p>
        </w:tc>
        <w:tc>
          <w:tcPr>
            <w:tcW w:type="dxa" w:w="187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Probabilidad</w:t>
            </w:r>
          </w:p>
        </w:tc>
        <w:tc>
          <w:tcPr>
            <w:tcW w:type="dxa" w:w="655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Descripción</w:t>
            </w:r>
          </w:p>
        </w:tc>
      </w:tr>
      <w:tr>
        <w:trPr>
          <w:cantSplit/>
        </w:trPr>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1</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Muy baja</w:t>
            </w:r>
          </w:p>
        </w:tc>
        <w:tc>
          <w:tcPr>
            <w:tcW w:type="dxa" w:w="65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Evento excepcional; no hay indicios en la operación.</w:t>
            </w:r>
          </w:p>
        </w:tc>
      </w:tr>
      <w:tr>
        <w:trPr>
          <w:cantSplit/>
        </w:trPr>
        <w:tc>
          <w:tcPr>
            <w:tcW w:type="dxa" w:w="93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2</w:t>
            </w:r>
          </w:p>
        </w:tc>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Baja</w:t>
            </w:r>
          </w:p>
        </w:tc>
        <w:tc>
          <w:tcPr>
            <w:tcW w:type="dxa" w:w="65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Podría ocurrir, pero los indicadores son favorables.</w:t>
            </w:r>
          </w:p>
        </w:tc>
      </w:tr>
      <w:tr>
        <w:trPr>
          <w:cantSplit/>
        </w:trPr>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3</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Media</w:t>
            </w:r>
          </w:p>
        </w:tc>
        <w:tc>
          <w:tcPr>
            <w:tcW w:type="dxa" w:w="65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Existen indicios moderados (por ejemplo, márgenes ajustados).</w:t>
            </w:r>
          </w:p>
        </w:tc>
      </w:tr>
      <w:tr>
        <w:trPr>
          <w:cantSplit/>
        </w:trPr>
        <w:tc>
          <w:tcPr>
            <w:tcW w:type="dxa" w:w="93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4</w:t>
            </w:r>
          </w:p>
        </w:tc>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Alta</w:t>
            </w:r>
          </w:p>
        </w:tc>
        <w:tc>
          <w:tcPr>
            <w:tcW w:type="dxa" w:w="65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Existen indicios claros (ingresos muy variables, historial con atrasos).</w:t>
            </w:r>
          </w:p>
        </w:tc>
      </w:tr>
      <w:tr>
        <w:trPr>
          <w:cantSplit/>
        </w:trPr>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5</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Muy alta</w:t>
            </w:r>
          </w:p>
        </w:tc>
        <w:tc>
          <w:tcPr>
            <w:tcW w:type="dxa" w:w="65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El evento es casi seguro con la información disponible.</w:t>
            </w:r>
          </w:p>
        </w:tc>
      </w:tr>
    </w:tbl>
    <w:p>
      <w:pPr>
        <w:spacing w:after="120"/>
      </w:pPr>
    </w:p>
    <w:p>
      <w:pPr>
        <w:keepNext/>
        <w:spacing w:after="60" w:before="120"/>
      </w:pPr>
      <w:r>
        <w:rPr>
          <w:b/>
          <w:bCs/>
          <w:color w:val="1F3864"/>
          <w:sz w:val="19"/>
          <w:szCs w:val="19"/>
        </w:rPr>
        <w:t xml:space="preserve">Tabla 9.3. Escala de impacto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1872"/>
        <w:gridCol w:w="6552"/>
      </w:tblGrid>
      <w:tr>
        <w:trPr>
          <w:cantSplit/>
          <w:tblHeader/>
        </w:trPr>
        <w:tc>
          <w:tcPr>
            <w:tcW w:type="dxa" w:w="93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Nivel</w:t>
            </w:r>
          </w:p>
        </w:tc>
        <w:tc>
          <w:tcPr>
            <w:tcW w:type="dxa" w:w="187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Impacto</w:t>
            </w:r>
          </w:p>
        </w:tc>
        <w:tc>
          <w:tcPr>
            <w:tcW w:type="dxa" w:w="655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Descripción (ejemplo expresado sobre la exposición)</w:t>
            </w:r>
          </w:p>
        </w:tc>
      </w:tr>
      <w:tr>
        <w:trPr>
          <w:cantSplit/>
        </w:trPr>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1</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Muy bajo</w:t>
            </w:r>
          </w:p>
        </w:tc>
        <w:tc>
          <w:tcPr>
            <w:tcW w:type="dxa" w:w="65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Atraso breve sin pérdida; costo administrativo menor.</w:t>
            </w:r>
          </w:p>
        </w:tc>
      </w:tr>
      <w:tr>
        <w:trPr>
          <w:cantSplit/>
        </w:trPr>
        <w:tc>
          <w:tcPr>
            <w:tcW w:type="dxa" w:w="93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2</w:t>
            </w:r>
          </w:p>
        </w:tc>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Bajo</w:t>
            </w:r>
          </w:p>
        </w:tc>
        <w:tc>
          <w:tcPr>
            <w:tcW w:type="dxa" w:w="65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Atrasos con recuperación total; costos de cobranza moderados.</w:t>
            </w:r>
          </w:p>
        </w:tc>
      </w:tr>
      <w:tr>
        <w:trPr>
          <w:cantSplit/>
        </w:trPr>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3</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Medio</w:t>
            </w:r>
          </w:p>
        </w:tc>
        <w:tc>
          <w:tcPr>
            <w:tcW w:type="dxa" w:w="65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Pérdida parcial de intereses o costos relevantes.</w:t>
            </w:r>
          </w:p>
        </w:tc>
      </w:tr>
      <w:tr>
        <w:trPr>
          <w:cantSplit/>
        </w:trPr>
        <w:tc>
          <w:tcPr>
            <w:tcW w:type="dxa" w:w="93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4</w:t>
            </w:r>
          </w:p>
        </w:tc>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Alto</w:t>
            </w:r>
          </w:p>
        </w:tc>
        <w:tc>
          <w:tcPr>
            <w:tcW w:type="dxa" w:w="65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Pérdida parcial de capital.</w:t>
            </w:r>
          </w:p>
        </w:tc>
      </w:tr>
      <w:tr>
        <w:trPr>
          <w:cantSplit/>
        </w:trPr>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5</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Muy alto</w:t>
            </w:r>
          </w:p>
        </w:tc>
        <w:tc>
          <w:tcPr>
            <w:tcW w:type="dxa" w:w="65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Pérdida de la mayor parte o la totalidad de la exposición; daño reputacional o legal.</w:t>
            </w:r>
          </w:p>
        </w:tc>
      </w:tr>
    </w:tbl>
    <w:p>
      <w:pPr>
        <w:spacing w:after="120"/>
      </w:pPr>
    </w:p>
    <w:p>
      <w:pPr>
        <w:pStyle w:val="Heading2"/>
        <w:keepNext/>
      </w:pPr>
      <w:r>
        <w:t xml:space="preserve">9.4 Cálculo de la clasificación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1F3864" w:sz="4"/>
              <w:left w:val="single" w:color="1F3864" w:sz="24"/>
              <w:bottom w:val="single" w:color="1F3864" w:sz="4"/>
              <w:right w:val="single" w:color="1F3864" w:sz="4"/>
            </w:tcBorders>
            <w:shd w:fill="DEEAF6" w:color="auto" w:val="clear"/>
            <w:tcMar>
              <w:top w:type="dxa" w:w="100"/>
              <w:left w:type="dxa" w:w="180"/>
              <w:bottom w:type="dxa" w:w="100"/>
              <w:right w:type="dxa" w:w="180"/>
            </w:tcMar>
          </w:tcPr>
          <w:p>
            <w:pPr>
              <w:spacing w:after="60"/>
            </w:pPr>
            <w:r>
              <w:rPr>
                <w:b/>
                <w:bCs/>
                <w:color w:val="1F3864"/>
                <w:sz w:val="20"/>
                <w:szCs w:val="20"/>
              </w:rPr>
              <w:t xml:space="preserve">Fórmula — riesgo inherente y residual</w:t>
            </w:r>
          </w:p>
          <w:p>
            <w:pPr>
              <w:spacing w:after="50"/>
              <w:jc w:val="center"/>
            </w:pPr>
            <w:r>
              <w:rPr>
                <w:sz w:val="20"/>
                <w:szCs w:val="20"/>
              </w:rPr>
              <w:t xml:space="preserve">Riesgo inherente = Probabilidad × Impacto (resultado de 1 a 25)</w:t>
            </w:r>
          </w:p>
          <w:p>
            <w:pPr>
              <w:spacing w:after="50"/>
              <w:jc w:val="center"/>
            </w:pPr>
            <w:r>
              <w:rPr>
                <w:sz w:val="20"/>
                <w:szCs w:val="20"/>
              </w:rPr>
              <w:t xml:space="preserve">Riesgo residual = Riesgo inherente × Factor de eficacia del control</w:t>
            </w:r>
          </w:p>
          <w:p>
            <w:pPr>
              <w:spacing w:after="50"/>
              <w:jc w:val="center"/>
            </w:pPr>
            <w:r>
              <w:rPr>
                <w:sz w:val="20"/>
                <w:szCs w:val="20"/>
              </w:rPr>
              <w:t xml:space="preserve">Factores propuestos: Fuerte = 0.4 · Adecuado = 0.6 · Débil = 0.8 · Inexistente = 1.0</w:t>
            </w:r>
          </w:p>
        </w:tc>
      </w:tr>
    </w:tbl>
    <w:p>
      <w:pPr>
        <w:spacing w:after="120"/>
      </w:pPr>
    </w:p>
    <w:p>
      <w:pPr>
        <w:keepNext/>
        <w:spacing w:after="60" w:before="120"/>
      </w:pPr>
      <w:r>
        <w:rPr>
          <w:b/>
          <w:bCs/>
          <w:color w:val="1F3864"/>
          <w:sz w:val="19"/>
          <w:szCs w:val="19"/>
        </w:rPr>
        <w:t xml:space="preserve">Tabla 9.4. Niveles de riesgo (propuesta orientativa)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872"/>
        <w:gridCol w:w="5616"/>
      </w:tblGrid>
      <w:tr>
        <w:trPr>
          <w:cantSplit/>
          <w:tblHeader/>
        </w:trPr>
        <w:tc>
          <w:tcPr>
            <w:tcW w:type="dxa" w:w="187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Puntuación</w:t>
            </w:r>
          </w:p>
        </w:tc>
        <w:tc>
          <w:tcPr>
            <w:tcW w:type="dxa" w:w="187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Nivel</w:t>
            </w:r>
          </w:p>
        </w:tc>
        <w:tc>
          <w:tcPr>
            <w:tcW w:type="dxa" w:w="561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Respuesta esperada</w:t>
            </w:r>
          </w:p>
        </w:tc>
      </w:tr>
      <w:tr>
        <w:trPr>
          <w:cantSplit/>
        </w:trPr>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1 a 4.9</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Bajo</w:t>
            </w:r>
          </w:p>
        </w:tc>
        <w:tc>
          <w:tcPr>
            <w:tcW w:type="dxa" w:w="56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Aceptar con controles normales.</w:t>
            </w:r>
          </w:p>
        </w:tc>
      </w:tr>
      <w:tr>
        <w:trPr>
          <w:cantSplit/>
        </w:trPr>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5 a 9.9</w:t>
            </w:r>
          </w:p>
        </w:tc>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Moderado</w:t>
            </w:r>
          </w:p>
        </w:tc>
        <w:tc>
          <w:tcPr>
            <w:tcW w:type="dxa" w:w="56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Aceptar con condiciones o seguimiento específico.</w:t>
            </w:r>
          </w:p>
        </w:tc>
      </w:tr>
      <w:tr>
        <w:trPr>
          <w:cantSplit/>
        </w:trPr>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10 a 15.9</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Alto</w:t>
            </w:r>
          </w:p>
        </w:tc>
        <w:tc>
          <w:tcPr>
            <w:tcW w:type="dxa" w:w="56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Requiere mitigación adicional antes de recomendar; escalar según política.</w:t>
            </w:r>
          </w:p>
        </w:tc>
      </w:tr>
      <w:tr>
        <w:trPr>
          <w:cantSplit/>
        </w:trPr>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16 a 25</w:t>
            </w:r>
          </w:p>
        </w:tc>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Crítico</w:t>
            </w:r>
          </w:p>
        </w:tc>
        <w:tc>
          <w:tcPr>
            <w:tcW w:type="dxa" w:w="56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No recomendar mientras no se reduzca; análisis especializado.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2E75B6" w:sz="4"/>
              <w:left w:val="single" w:color="2E75B6" w:sz="24"/>
              <w:bottom w:val="single" w:color="2E75B6" w:sz="4"/>
              <w:right w:val="single" w:color="2E75B6" w:sz="4"/>
            </w:tcBorders>
            <w:shd w:fill="F2F7FC" w:color="auto" w:val="clear"/>
            <w:tcMar>
              <w:top w:type="dxa" w:w="100"/>
              <w:left w:type="dxa" w:w="180"/>
              <w:bottom w:type="dxa" w:w="100"/>
              <w:right w:type="dxa" w:w="180"/>
            </w:tcMar>
          </w:tcPr>
          <w:p>
            <w:pPr>
              <w:spacing w:after="60"/>
            </w:pPr>
            <w:r>
              <w:rPr>
                <w:b/>
                <w:bCs/>
                <w:color w:val="2E75B6"/>
                <w:sz w:val="20"/>
                <w:szCs w:val="20"/>
              </w:rPr>
              <w:t xml:space="preserve">Ejemplo (datos ficticios) — cálculo para un riesgo</w:t>
            </w:r>
          </w:p>
          <w:p>
            <w:pPr>
              <w:spacing w:after="50"/>
              <w:jc w:val="left"/>
            </w:pPr>
            <w:r>
              <w:rPr>
                <w:sz w:val="20"/>
                <w:szCs w:val="20"/>
              </w:rPr>
              <w:t xml:space="preserve">Riesgo: incumplimiento. Probabilidad 3 (media) × Impacto 5 (muy alto) = </w:t>
            </w:r>
            <w:r>
              <w:rPr>
                <w:b/>
                <w:bCs/>
                <w:sz w:val="20"/>
                <w:szCs w:val="20"/>
              </w:rPr>
              <w:t xml:space="preserve">15 → Alto</w:t>
            </w:r>
            <w:r>
              <w:rPr>
                <w:sz w:val="20"/>
                <w:szCs w:val="20"/>
              </w:rPr>
              <w:t xml:space="preserve">.</w:t>
            </w:r>
          </w:p>
          <w:p>
            <w:pPr>
              <w:spacing w:after="50"/>
              <w:jc w:val="left"/>
            </w:pPr>
            <w:r>
              <w:rPr>
                <w:sz w:val="20"/>
                <w:szCs w:val="20"/>
              </w:rPr>
              <w:t xml:space="preserve">Control: análisis de capacidad con escenario adverso, eficacia «Adecuado» (0.6). Residual = 15 × 0.6 = </w:t>
            </w:r>
            <w:r>
              <w:rPr>
                <w:b/>
                <w:bCs/>
                <w:sz w:val="20"/>
                <w:szCs w:val="20"/>
              </w:rPr>
              <w:t xml:space="preserve">9 → Moderado</w:t>
            </w:r>
            <w:r>
              <w:rPr>
                <w:sz w:val="20"/>
                <w:szCs w:val="20"/>
              </w:rPr>
              <w:t xml:space="preserve">.</w:t>
            </w:r>
          </w:p>
          <w:p>
            <w:pPr>
              <w:spacing w:after="50"/>
              <w:jc w:val="left"/>
            </w:pPr>
            <w:r>
              <w:rPr>
                <w:sz w:val="20"/>
                <w:szCs w:val="20"/>
              </w:rPr>
              <w:t xml:space="preserve">Acción: domiciliación de la cuota y seguimiento mensual de pagos. El riesgo residual moderado es aceptable con esa condición.</w:t>
            </w:r>
          </w:p>
        </w:tc>
      </w:tr>
    </w:tbl>
    <w:p>
      <w:pPr>
        <w:spacing w:after="120"/>
      </w:pPr>
    </w:p>
    <w:p>
      <w:pPr>
        <w:pStyle w:val="Heading2"/>
        <w:keepNext/>
      </w:pPr>
      <w:r>
        <w:t xml:space="preserve">9.5 Cómo calificar la eficacia del control</w:t>
      </w:r>
    </w:p>
    <w:p>
      <w:pPr>
        <w:keepNext/>
        <w:spacing w:after="60" w:before="120"/>
      </w:pPr>
      <w:r>
        <w:rPr>
          <w:b/>
          <w:bCs/>
          <w:color w:val="1F3864"/>
          <w:sz w:val="19"/>
          <w:szCs w:val="19"/>
        </w:rPr>
        <w:t xml:space="preserve">Tabla 9.5. Eficacia del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7020"/>
      </w:tblGrid>
      <w:tr>
        <w:trPr>
          <w:cantSplit/>
          <w:tblHeader/>
        </w:trPr>
        <w:tc>
          <w:tcPr>
            <w:tcW w:type="dxa" w:w="234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Calificación</w:t>
            </w:r>
          </w:p>
        </w:tc>
        <w:tc>
          <w:tcPr>
            <w:tcW w:type="dxa" w:w="702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Criterio</w:t>
            </w:r>
          </w:p>
        </w:tc>
      </w:tr>
      <w:tr>
        <w:trPr>
          <w:cantSplit/>
        </w:trPr>
        <w:tc>
          <w:tcPr>
            <w:tcW w:type="dxa" w:w="23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Fuerte (0.4)</w:t>
            </w:r>
          </w:p>
        </w:tc>
        <w:tc>
          <w:tcPr>
            <w:tcW w:type="dxa" w:w="70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Control documentado, aplicado siempre, con evidencia y revisión independiente.</w:t>
            </w:r>
          </w:p>
        </w:tc>
      </w:tr>
      <w:tr>
        <w:trPr>
          <w:cantSplit/>
        </w:trPr>
        <w:tc>
          <w:tcPr>
            <w:tcW w:type="dxa" w:w="23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Adecuado (0.6)</w:t>
            </w:r>
          </w:p>
        </w:tc>
        <w:tc>
          <w:tcPr>
            <w:tcW w:type="dxa" w:w="70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Control documentado y aplicado, con evidencia, pero sin revisión independiente sistemática.</w:t>
            </w:r>
          </w:p>
        </w:tc>
      </w:tr>
      <w:tr>
        <w:trPr>
          <w:cantSplit/>
        </w:trPr>
        <w:tc>
          <w:tcPr>
            <w:tcW w:type="dxa" w:w="23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Débil (0.8)</w:t>
            </w:r>
          </w:p>
        </w:tc>
        <w:tc>
          <w:tcPr>
            <w:tcW w:type="dxa" w:w="70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Control existe pero se aplica de forma irregular o sin evidencia.</w:t>
            </w:r>
          </w:p>
        </w:tc>
      </w:tr>
      <w:tr>
        <w:trPr>
          <w:cantSplit/>
        </w:trPr>
        <w:tc>
          <w:tcPr>
            <w:tcW w:type="dxa" w:w="23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Inexistente (1.0)</w:t>
            </w:r>
          </w:p>
        </w:tc>
        <w:tc>
          <w:tcPr>
            <w:tcW w:type="dxa" w:w="70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No hay control.</w:t>
            </w:r>
          </w:p>
        </w:tc>
      </w:tr>
    </w:tbl>
    <w:p>
      <w:pPr>
        <w:spacing w:after="120"/>
      </w:pPr>
    </w:p>
    <w:p>
      <w:pPr>
        <w:keepNext w:val="false"/>
        <w:spacing w:after="120" w:before="0"/>
        <w:jc w:val="both"/>
      </w:pPr>
      <w:r>
        <w:t xml:space="preserve">La matriz completa con las 14 columnas se presenta en la página siguiente (orientación horizontal para facilitar su lectura). Una versión en blanco, editable, figura en el </w:t>
      </w:r>
      <w:r>
        <w:rPr>
          <w:b/>
          <w:bCs/>
        </w:rPr>
        <w:t xml:space="preserve">Anexo D</w:t>
      </w:r>
      <w:r>
        <w:t xml:space="preserve">.</w:t>
      </w:r>
    </w:p>
    <w:p>
      <w:pPr>
        <w:sectPr>
          <w:headerReference w:type="default" r:id="rId9"/>
          <w:footerReference w:type="default" r:id="rId10"/>
          <w:type w:val="nextPage"/>
          <w:pgSz w:w="12240" w:h="15840" w:orient="portrait"/>
          <w:pgMar w:top="1440" w:right="1440" w:bottom="1300" w:left="1440" w:header="600" w:footer="600" w:gutter="0"/>
          <w:pgNumType/>
          <w:docGrid w:linePitch="360"/>
        </w:sectPr>
      </w:pPr>
    </w:p>
    <w:p>
      <w:pPr>
        <w:pStyle w:val="Heading1"/>
      </w:pPr>
      <w:r>
        <w:t xml:space="preserve">9.6 Matriz de evaluación de riesgos de una operación (ejemplo ficticio)</w:t>
      </w:r>
    </w:p>
    <w:p>
      <w:pPr>
        <w:keepNext/>
        <w:spacing w:after="60" w:before="120"/>
      </w:pPr>
      <w:r>
        <w:rPr>
          <w:b/>
          <w:bCs/>
          <w:color w:val="1F3864"/>
          <w:sz w:val="19"/>
          <w:szCs w:val="19"/>
        </w:rPr>
        <w:t xml:space="preserve">Tabla 9.6. Matriz de riesgos (valores ilustrativos; la probabilidad e impacto se asignan por operación)</w:t>
      </w:r>
    </w:p>
    <w:tbl>
      <w:tblPr>
        <w:tblW w:type="dxa" w:w="129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9"/>
        <w:gridCol w:w="1089"/>
        <w:gridCol w:w="1025"/>
        <w:gridCol w:w="1025"/>
        <w:gridCol w:w="1089"/>
        <w:gridCol w:w="461"/>
        <w:gridCol w:w="461"/>
        <w:gridCol w:w="743"/>
        <w:gridCol w:w="1153"/>
        <w:gridCol w:w="833"/>
        <w:gridCol w:w="833"/>
        <w:gridCol w:w="1153"/>
        <w:gridCol w:w="999"/>
        <w:gridCol w:w="1007"/>
      </w:tblGrid>
      <w:tr>
        <w:trPr>
          <w:cantSplit/>
          <w:tblHeader/>
        </w:trPr>
        <w:tc>
          <w:tcPr>
            <w:tcW w:type="dxa" w:w="108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4"/>
                <w:szCs w:val="14"/>
              </w:rPr>
              <w:t xml:space="preserve">Riesgo</w:t>
            </w:r>
          </w:p>
        </w:tc>
        <w:tc>
          <w:tcPr>
            <w:tcW w:type="dxa" w:w="108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4"/>
                <w:szCs w:val="14"/>
              </w:rPr>
              <w:t xml:space="preserve">Causa</w:t>
            </w:r>
          </w:p>
        </w:tc>
        <w:tc>
          <w:tcPr>
            <w:tcW w:type="dxa" w:w="1025"/>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4"/>
                <w:szCs w:val="14"/>
              </w:rPr>
              <w:t xml:space="preserve">Evento</w:t>
            </w:r>
          </w:p>
        </w:tc>
        <w:tc>
          <w:tcPr>
            <w:tcW w:type="dxa" w:w="1025"/>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4"/>
                <w:szCs w:val="14"/>
              </w:rPr>
              <w:t xml:space="preserve">Consecuencia</w:t>
            </w:r>
          </w:p>
        </w:tc>
        <w:tc>
          <w:tcPr>
            <w:tcW w:type="dxa" w:w="108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4"/>
                <w:szCs w:val="14"/>
              </w:rPr>
              <w:t xml:space="preserve">Indicador de alerta</w:t>
            </w:r>
          </w:p>
        </w:tc>
        <w:tc>
          <w:tcPr>
            <w:tcW w:type="dxa" w:w="461"/>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4"/>
                <w:szCs w:val="14"/>
              </w:rPr>
              <w:t xml:space="preserve">Prob.</w:t>
            </w:r>
          </w:p>
        </w:tc>
        <w:tc>
          <w:tcPr>
            <w:tcW w:type="dxa" w:w="461"/>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4"/>
                <w:szCs w:val="14"/>
              </w:rPr>
              <w:t xml:space="preserve">Imp.</w:t>
            </w:r>
          </w:p>
        </w:tc>
        <w:tc>
          <w:tcPr>
            <w:tcW w:type="dxa" w:w="743"/>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4"/>
                <w:szCs w:val="14"/>
              </w:rPr>
              <w:t xml:space="preserve">Riesgo inherente</w:t>
            </w:r>
          </w:p>
        </w:tc>
        <w:tc>
          <w:tcPr>
            <w:tcW w:type="dxa" w:w="1153"/>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4"/>
                <w:szCs w:val="14"/>
              </w:rPr>
              <w:t xml:space="preserve">Control existente</w:t>
            </w:r>
          </w:p>
        </w:tc>
        <w:tc>
          <w:tcPr>
            <w:tcW w:type="dxa" w:w="833"/>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4"/>
                <w:szCs w:val="14"/>
              </w:rPr>
              <w:t xml:space="preserve">Eficacia del control</w:t>
            </w:r>
          </w:p>
        </w:tc>
        <w:tc>
          <w:tcPr>
            <w:tcW w:type="dxa" w:w="833"/>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4"/>
                <w:szCs w:val="14"/>
              </w:rPr>
              <w:t xml:space="preserve">Riesgo residual</w:t>
            </w:r>
          </w:p>
        </w:tc>
        <w:tc>
          <w:tcPr>
            <w:tcW w:type="dxa" w:w="1153"/>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4"/>
                <w:szCs w:val="14"/>
              </w:rPr>
              <w:t xml:space="preserve">Acción de mitigación</w:t>
            </w:r>
          </w:p>
        </w:tc>
        <w:tc>
          <w:tcPr>
            <w:tcW w:type="dxa" w:w="99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4"/>
                <w:szCs w:val="14"/>
              </w:rPr>
              <w:t xml:space="preserve">Responsable</w:t>
            </w:r>
          </w:p>
        </w:tc>
        <w:tc>
          <w:tcPr>
            <w:tcW w:type="dxa" w:w="1007"/>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4"/>
                <w:szCs w:val="14"/>
              </w:rPr>
              <w:t xml:space="preserve">Seguimiento</w:t>
            </w:r>
          </w:p>
        </w:tc>
      </w:tr>
      <w:tr>
        <w:trPr>
          <w:cantSplit/>
        </w:trPr>
        <w:tc>
          <w:tcPr>
            <w:tcW w:type="dxa" w:w="108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Incumplimiento</w:t>
            </w:r>
          </w:p>
        </w:tc>
        <w:tc>
          <w:tcPr>
            <w:tcW w:type="dxa" w:w="108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Ingresos insuficientes o deterioro posterior</w:t>
            </w:r>
          </w:p>
        </w:tc>
        <w:tc>
          <w:tcPr>
            <w:tcW w:type="dxa" w:w="102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El deudor deja de pagar cuotas</w:t>
            </w:r>
          </w:p>
        </w:tc>
        <w:tc>
          <w:tcPr>
            <w:tcW w:type="dxa" w:w="102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Pérdida de capital e intereses; reservas</w:t>
            </w:r>
          </w:p>
        </w:tc>
        <w:tc>
          <w:tcPr>
            <w:tcW w:type="dxa" w:w="108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Atrasos &gt; 15 días; caída de abonos</w:t>
            </w:r>
          </w:p>
        </w:tc>
        <w:tc>
          <w:tcPr>
            <w:tcW w:type="dxa" w:w="46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3</w:t>
            </w:r>
          </w:p>
        </w:tc>
        <w:tc>
          <w:tcPr>
            <w:tcW w:type="dxa" w:w="46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5</w:t>
            </w:r>
          </w:p>
        </w:tc>
        <w:tc>
          <w:tcPr>
            <w:tcW w:type="dxa" w:w="74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15 Alto</w:t>
            </w:r>
          </w:p>
        </w:tc>
        <w:tc>
          <w:tcPr>
            <w:tcW w:type="dxa" w:w="115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Análisis de capacidad y escenario adverso</w:t>
            </w:r>
          </w:p>
        </w:tc>
        <w:tc>
          <w:tcPr>
            <w:tcW w:type="dxa" w:w="8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Adecuado (0.6)</w:t>
            </w:r>
          </w:p>
        </w:tc>
        <w:tc>
          <w:tcPr>
            <w:tcW w:type="dxa" w:w="8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9 Moderado</w:t>
            </w:r>
          </w:p>
        </w:tc>
        <w:tc>
          <w:tcPr>
            <w:tcW w:type="dxa" w:w="115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Domiciliar cuota; seguimiento mensual</w:t>
            </w:r>
          </w:p>
        </w:tc>
        <w:tc>
          <w:tcPr>
            <w:tcW w:type="dxa" w:w="99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Analista / Cobranza</w:t>
            </w:r>
          </w:p>
        </w:tc>
        <w:tc>
          <w:tcPr>
            <w:tcW w:type="dxa" w:w="100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Mensual</w:t>
            </w:r>
          </w:p>
        </w:tc>
      </w:tr>
      <w:tr>
        <w:trPr>
          <w:cantSplit/>
        </w:trPr>
        <w:tc>
          <w:tcPr>
            <w:tcW w:type="dxa" w:w="108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Sobreendeudamiento</w:t>
            </w:r>
          </w:p>
        </w:tc>
        <w:tc>
          <w:tcPr>
            <w:tcW w:type="dxa" w:w="108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Deudas en varias instituciones</w:t>
            </w:r>
          </w:p>
        </w:tc>
        <w:tc>
          <w:tcPr>
            <w:tcW w:type="dxa" w:w="102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Cuotas totales superan la capacidad</w:t>
            </w:r>
          </w:p>
        </w:tc>
        <w:tc>
          <w:tcPr>
            <w:tcW w:type="dxa" w:w="102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Mora en cadena</w:t>
            </w:r>
          </w:p>
        </w:tc>
        <w:tc>
          <w:tcPr>
            <w:tcW w:type="dxa" w:w="108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Relación deuda-ingreso &gt; rango de política</w:t>
            </w:r>
          </w:p>
        </w:tc>
        <w:tc>
          <w:tcPr>
            <w:tcW w:type="dxa" w:w="46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3</w:t>
            </w:r>
          </w:p>
        </w:tc>
        <w:tc>
          <w:tcPr>
            <w:tcW w:type="dxa" w:w="46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4</w:t>
            </w:r>
          </w:p>
        </w:tc>
        <w:tc>
          <w:tcPr>
            <w:tcW w:type="dxa" w:w="74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12 Alto</w:t>
            </w:r>
          </w:p>
        </w:tc>
        <w:tc>
          <w:tcPr>
            <w:tcW w:type="dxa" w:w="115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Consulta de historial y cálculo integral</w:t>
            </w:r>
          </w:p>
        </w:tc>
        <w:tc>
          <w:tcPr>
            <w:tcW w:type="dxa" w:w="8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Fuerte (0.4)</w:t>
            </w:r>
          </w:p>
        </w:tc>
        <w:tc>
          <w:tcPr>
            <w:tcW w:type="dxa" w:w="8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4.8 Bajo</w:t>
            </w:r>
          </w:p>
        </w:tc>
        <w:tc>
          <w:tcPr>
            <w:tcW w:type="dxa" w:w="115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Consolidación con pago directo</w:t>
            </w:r>
          </w:p>
        </w:tc>
        <w:tc>
          <w:tcPr>
            <w:tcW w:type="dxa" w:w="99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Analista</w:t>
            </w:r>
          </w:p>
        </w:tc>
        <w:tc>
          <w:tcPr>
            <w:tcW w:type="dxa" w:w="100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En la evaluación</w:t>
            </w:r>
          </w:p>
        </w:tc>
      </w:tr>
      <w:tr>
        <w:trPr>
          <w:cantSplit/>
        </w:trPr>
        <w:tc>
          <w:tcPr>
            <w:tcW w:type="dxa" w:w="108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Ingresos insuficientes</w:t>
            </w:r>
          </w:p>
        </w:tc>
        <w:tc>
          <w:tcPr>
            <w:tcW w:type="dxa" w:w="108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Ingreso real menor que el declarado</w:t>
            </w:r>
          </w:p>
        </w:tc>
        <w:tc>
          <w:tcPr>
            <w:tcW w:type="dxa" w:w="102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Cuota no cabe en el presupuesto</w:t>
            </w:r>
          </w:p>
        </w:tc>
        <w:tc>
          <w:tcPr>
            <w:tcW w:type="dxa" w:w="102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Mora temprana</w:t>
            </w:r>
          </w:p>
        </w:tc>
        <w:tc>
          <w:tcPr>
            <w:tcW w:type="dxa" w:w="108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Diferencia constancia vs. abonos</w:t>
            </w:r>
          </w:p>
        </w:tc>
        <w:tc>
          <w:tcPr>
            <w:tcW w:type="dxa" w:w="46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3</w:t>
            </w:r>
          </w:p>
        </w:tc>
        <w:tc>
          <w:tcPr>
            <w:tcW w:type="dxa" w:w="46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4</w:t>
            </w:r>
          </w:p>
        </w:tc>
        <w:tc>
          <w:tcPr>
            <w:tcW w:type="dxa" w:w="74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12 Alto</w:t>
            </w:r>
          </w:p>
        </w:tc>
        <w:tc>
          <w:tcPr>
            <w:tcW w:type="dxa" w:w="115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Verificación con estados de cuenta</w:t>
            </w:r>
          </w:p>
        </w:tc>
        <w:tc>
          <w:tcPr>
            <w:tcW w:type="dxa" w:w="8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Fuerte (0.4)</w:t>
            </w:r>
          </w:p>
        </w:tc>
        <w:tc>
          <w:tcPr>
            <w:tcW w:type="dxa" w:w="8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4.8 Bajo</w:t>
            </w:r>
          </w:p>
        </w:tc>
        <w:tc>
          <w:tcPr>
            <w:tcW w:type="dxa" w:w="115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Usar solo ingreso verificado</w:t>
            </w:r>
          </w:p>
        </w:tc>
        <w:tc>
          <w:tcPr>
            <w:tcW w:type="dxa" w:w="99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Analista</w:t>
            </w:r>
          </w:p>
        </w:tc>
        <w:tc>
          <w:tcPr>
            <w:tcW w:type="dxa" w:w="100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En la evaluación</w:t>
            </w:r>
          </w:p>
        </w:tc>
      </w:tr>
      <w:tr>
        <w:trPr>
          <w:cantSplit/>
        </w:trPr>
        <w:tc>
          <w:tcPr>
            <w:tcW w:type="dxa" w:w="108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Ingresos variables</w:t>
            </w:r>
          </w:p>
        </w:tc>
        <w:tc>
          <w:tcPr>
            <w:tcW w:type="dxa" w:w="108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Actividad independiente o estacional</w:t>
            </w:r>
          </w:p>
        </w:tc>
        <w:tc>
          <w:tcPr>
            <w:tcW w:type="dxa" w:w="102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Meses sin ingreso suficiente</w:t>
            </w:r>
          </w:p>
        </w:tc>
        <w:tc>
          <w:tcPr>
            <w:tcW w:type="dxa" w:w="102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Atrasos recurrentes</w:t>
            </w:r>
          </w:p>
        </w:tc>
        <w:tc>
          <w:tcPr>
            <w:tcW w:type="dxa" w:w="108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Coeficiente de variación alto</w:t>
            </w:r>
          </w:p>
        </w:tc>
        <w:tc>
          <w:tcPr>
            <w:tcW w:type="dxa" w:w="46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4</w:t>
            </w:r>
          </w:p>
        </w:tc>
        <w:tc>
          <w:tcPr>
            <w:tcW w:type="dxa" w:w="46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3</w:t>
            </w:r>
          </w:p>
        </w:tc>
        <w:tc>
          <w:tcPr>
            <w:tcW w:type="dxa" w:w="74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12 Alto</w:t>
            </w:r>
          </w:p>
        </w:tc>
        <w:tc>
          <w:tcPr>
            <w:tcW w:type="dxa" w:w="115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Base conservadora (meses bajos)</w:t>
            </w:r>
          </w:p>
        </w:tc>
        <w:tc>
          <w:tcPr>
            <w:tcW w:type="dxa" w:w="8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Adecuado (0.6)</w:t>
            </w:r>
          </w:p>
        </w:tc>
        <w:tc>
          <w:tcPr>
            <w:tcW w:type="dxa" w:w="8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7.2 Moderado</w:t>
            </w:r>
          </w:p>
        </w:tc>
        <w:tc>
          <w:tcPr>
            <w:tcW w:type="dxa" w:w="115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Plazo acorde; reserva de liquidez</w:t>
            </w:r>
          </w:p>
        </w:tc>
        <w:tc>
          <w:tcPr>
            <w:tcW w:type="dxa" w:w="99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Analista</w:t>
            </w:r>
          </w:p>
        </w:tc>
        <w:tc>
          <w:tcPr>
            <w:tcW w:type="dxa" w:w="100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Trimestral</w:t>
            </w:r>
          </w:p>
        </w:tc>
      </w:tr>
      <w:tr>
        <w:trPr>
          <w:cantSplit/>
        </w:trPr>
        <w:tc>
          <w:tcPr>
            <w:tcW w:type="dxa" w:w="108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Dependencia de una fuente</w:t>
            </w:r>
          </w:p>
        </w:tc>
        <w:tc>
          <w:tcPr>
            <w:tcW w:type="dxa" w:w="108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Un solo empleador, cliente o remesa</w:t>
            </w:r>
          </w:p>
        </w:tc>
        <w:tc>
          <w:tcPr>
            <w:tcW w:type="dxa" w:w="102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Pérdida de la fuente</w:t>
            </w:r>
          </w:p>
        </w:tc>
        <w:tc>
          <w:tcPr>
            <w:tcW w:type="dxa" w:w="102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Cese de pagos</w:t>
            </w:r>
          </w:p>
        </w:tc>
        <w:tc>
          <w:tcPr>
            <w:tcW w:type="dxa" w:w="108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Concentración &gt; 70 % del ingreso</w:t>
            </w:r>
          </w:p>
        </w:tc>
        <w:tc>
          <w:tcPr>
            <w:tcW w:type="dxa" w:w="46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2</w:t>
            </w:r>
          </w:p>
        </w:tc>
        <w:tc>
          <w:tcPr>
            <w:tcW w:type="dxa" w:w="46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5</w:t>
            </w:r>
          </w:p>
        </w:tc>
        <w:tc>
          <w:tcPr>
            <w:tcW w:type="dxa" w:w="74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10 Alto</w:t>
            </w:r>
          </w:p>
        </w:tc>
        <w:tc>
          <w:tcPr>
            <w:tcW w:type="dxa" w:w="115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Escenario sin la fuente</w:t>
            </w:r>
          </w:p>
        </w:tc>
        <w:tc>
          <w:tcPr>
            <w:tcW w:type="dxa" w:w="8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Débil (0.8)</w:t>
            </w:r>
          </w:p>
        </w:tc>
        <w:tc>
          <w:tcPr>
            <w:tcW w:type="dxa" w:w="8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8 Moderado</w:t>
            </w:r>
          </w:p>
        </w:tc>
        <w:tc>
          <w:tcPr>
            <w:tcW w:type="dxa" w:w="115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Garantía o codeudor adicional</w:t>
            </w:r>
          </w:p>
        </w:tc>
        <w:tc>
          <w:tcPr>
            <w:tcW w:type="dxa" w:w="99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Analista / Comité</w:t>
            </w:r>
          </w:p>
        </w:tc>
        <w:tc>
          <w:tcPr>
            <w:tcW w:type="dxa" w:w="100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Semestral</w:t>
            </w:r>
          </w:p>
        </w:tc>
      </w:tr>
      <w:tr>
        <w:trPr>
          <w:cantSplit/>
        </w:trPr>
        <w:tc>
          <w:tcPr>
            <w:tcW w:type="dxa" w:w="108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Información falsa o inconsistente</w:t>
            </w:r>
          </w:p>
        </w:tc>
        <w:tc>
          <w:tcPr>
            <w:tcW w:type="dxa" w:w="108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Documentos alterados o datos inflados</w:t>
            </w:r>
          </w:p>
        </w:tc>
        <w:tc>
          <w:tcPr>
            <w:tcW w:type="dxa" w:w="102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Decisión basada en datos erróneos</w:t>
            </w:r>
          </w:p>
        </w:tc>
        <w:tc>
          <w:tcPr>
            <w:tcW w:type="dxa" w:w="102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Pérdida y riesgo legal</w:t>
            </w:r>
          </w:p>
        </w:tc>
        <w:tc>
          <w:tcPr>
            <w:tcW w:type="dxa" w:w="108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Formato atípico; datos no coinciden</w:t>
            </w:r>
          </w:p>
        </w:tc>
        <w:tc>
          <w:tcPr>
            <w:tcW w:type="dxa" w:w="46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2</w:t>
            </w:r>
          </w:p>
        </w:tc>
        <w:tc>
          <w:tcPr>
            <w:tcW w:type="dxa" w:w="46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5</w:t>
            </w:r>
          </w:p>
        </w:tc>
        <w:tc>
          <w:tcPr>
            <w:tcW w:type="dxa" w:w="74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10 Alto</w:t>
            </w:r>
          </w:p>
        </w:tc>
        <w:tc>
          <w:tcPr>
            <w:tcW w:type="dxa" w:w="115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Verificación independiente</w:t>
            </w:r>
          </w:p>
        </w:tc>
        <w:tc>
          <w:tcPr>
            <w:tcW w:type="dxa" w:w="8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Adecuado (0.6)</w:t>
            </w:r>
          </w:p>
        </w:tc>
        <w:tc>
          <w:tcPr>
            <w:tcW w:type="dxa" w:w="8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6 Moderado</w:t>
            </w:r>
          </w:p>
        </w:tc>
        <w:tc>
          <w:tcPr>
            <w:tcW w:type="dxa" w:w="115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Llamada a fuente independiente; escalamiento</w:t>
            </w:r>
          </w:p>
        </w:tc>
        <w:tc>
          <w:tcPr>
            <w:tcW w:type="dxa" w:w="99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Analista / Cumplimiento</w:t>
            </w:r>
          </w:p>
        </w:tc>
        <w:tc>
          <w:tcPr>
            <w:tcW w:type="dxa" w:w="100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En la evaluación</w:t>
            </w:r>
          </w:p>
        </w:tc>
      </w:tr>
      <w:tr>
        <w:trPr>
          <w:cantSplit/>
        </w:trPr>
        <w:tc>
          <w:tcPr>
            <w:tcW w:type="dxa" w:w="108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Fraude</w:t>
            </w:r>
          </w:p>
        </w:tc>
        <w:tc>
          <w:tcPr>
            <w:tcW w:type="dxa" w:w="108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Suplantación o colusión</w:t>
            </w:r>
          </w:p>
        </w:tc>
        <w:tc>
          <w:tcPr>
            <w:tcW w:type="dxa" w:w="102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Crédito a persona inexistente o desvío</w:t>
            </w:r>
          </w:p>
        </w:tc>
        <w:tc>
          <w:tcPr>
            <w:tcW w:type="dxa" w:w="102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Pérdida total</w:t>
            </w:r>
          </w:p>
        </w:tc>
        <w:tc>
          <w:tcPr>
            <w:tcW w:type="dxa" w:w="108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Datos compartidos entre solicitantes</w:t>
            </w:r>
          </w:p>
        </w:tc>
        <w:tc>
          <w:tcPr>
            <w:tcW w:type="dxa" w:w="46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1</w:t>
            </w:r>
          </w:p>
        </w:tc>
        <w:tc>
          <w:tcPr>
            <w:tcW w:type="dxa" w:w="46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5</w:t>
            </w:r>
          </w:p>
        </w:tc>
        <w:tc>
          <w:tcPr>
            <w:tcW w:type="dxa" w:w="74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5 Moderado</w:t>
            </w:r>
          </w:p>
        </w:tc>
        <w:tc>
          <w:tcPr>
            <w:tcW w:type="dxa" w:w="115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Validación biométrica o presencial</w:t>
            </w:r>
          </w:p>
        </w:tc>
        <w:tc>
          <w:tcPr>
            <w:tcW w:type="dxa" w:w="8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Fuerte (0.4)</w:t>
            </w:r>
          </w:p>
        </w:tc>
        <w:tc>
          <w:tcPr>
            <w:tcW w:type="dxa" w:w="8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2 Bajo</w:t>
            </w:r>
          </w:p>
        </w:tc>
        <w:tc>
          <w:tcPr>
            <w:tcW w:type="dxa" w:w="115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Revisión reforzada</w:t>
            </w:r>
          </w:p>
        </w:tc>
        <w:tc>
          <w:tcPr>
            <w:tcW w:type="dxa" w:w="99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Operaciones / Riesgos</w:t>
            </w:r>
          </w:p>
        </w:tc>
        <w:tc>
          <w:tcPr>
            <w:tcW w:type="dxa" w:w="100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Continuo</w:t>
            </w:r>
          </w:p>
        </w:tc>
      </w:tr>
      <w:tr>
        <w:trPr>
          <w:cantSplit/>
        </w:trPr>
        <w:tc>
          <w:tcPr>
            <w:tcW w:type="dxa" w:w="108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Garantía</w:t>
            </w:r>
          </w:p>
        </w:tc>
        <w:tc>
          <w:tcPr>
            <w:tcW w:type="dxa" w:w="108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Sobrevaluación o deterioro del bien</w:t>
            </w:r>
          </w:p>
        </w:tc>
        <w:tc>
          <w:tcPr>
            <w:tcW w:type="dxa" w:w="102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Recuperación menor que la esperada</w:t>
            </w:r>
          </w:p>
        </w:tc>
        <w:tc>
          <w:tcPr>
            <w:tcW w:type="dxa" w:w="102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Pérdida en ejecución</w:t>
            </w:r>
          </w:p>
        </w:tc>
        <w:tc>
          <w:tcPr>
            <w:tcW w:type="dxa" w:w="108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LTV alto; avalúo antiguo</w:t>
            </w:r>
          </w:p>
        </w:tc>
        <w:tc>
          <w:tcPr>
            <w:tcW w:type="dxa" w:w="46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2</w:t>
            </w:r>
          </w:p>
        </w:tc>
        <w:tc>
          <w:tcPr>
            <w:tcW w:type="dxa" w:w="46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4</w:t>
            </w:r>
          </w:p>
        </w:tc>
        <w:tc>
          <w:tcPr>
            <w:tcW w:type="dxa" w:w="74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8 Moderado</w:t>
            </w:r>
          </w:p>
        </w:tc>
        <w:tc>
          <w:tcPr>
            <w:tcW w:type="dxa" w:w="115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Avalúo independiente</w:t>
            </w:r>
          </w:p>
        </w:tc>
        <w:tc>
          <w:tcPr>
            <w:tcW w:type="dxa" w:w="8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Adecuado (0.6)</w:t>
            </w:r>
          </w:p>
        </w:tc>
        <w:tc>
          <w:tcPr>
            <w:tcW w:type="dxa" w:w="8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4.8 Bajo</w:t>
            </w:r>
          </w:p>
        </w:tc>
        <w:tc>
          <w:tcPr>
            <w:tcW w:type="dxa" w:w="115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Revaluación periódica; seguro</w:t>
            </w:r>
          </w:p>
        </w:tc>
        <w:tc>
          <w:tcPr>
            <w:tcW w:type="dxa" w:w="99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Legal / Riesgos</w:t>
            </w:r>
          </w:p>
        </w:tc>
        <w:tc>
          <w:tcPr>
            <w:tcW w:type="dxa" w:w="100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Anual</w:t>
            </w:r>
          </w:p>
        </w:tc>
      </w:tr>
      <w:tr>
        <w:trPr>
          <w:cantSplit/>
        </w:trPr>
        <w:tc>
          <w:tcPr>
            <w:tcW w:type="dxa" w:w="108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Jurídico y documental</w:t>
            </w:r>
          </w:p>
        </w:tc>
        <w:tc>
          <w:tcPr>
            <w:tcW w:type="dxa" w:w="108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Contratos o inscripciones defectuosas</w:t>
            </w:r>
          </w:p>
        </w:tc>
        <w:tc>
          <w:tcPr>
            <w:tcW w:type="dxa" w:w="102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Garantía no oponible o cobro difícil</w:t>
            </w:r>
          </w:p>
        </w:tc>
        <w:tc>
          <w:tcPr>
            <w:tcW w:type="dxa" w:w="102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Pérdida y costos legales</w:t>
            </w:r>
          </w:p>
        </w:tc>
        <w:tc>
          <w:tcPr>
            <w:tcW w:type="dxa" w:w="108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Falta de inscripción; poderes vencidos</w:t>
            </w:r>
          </w:p>
        </w:tc>
        <w:tc>
          <w:tcPr>
            <w:tcW w:type="dxa" w:w="46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2</w:t>
            </w:r>
          </w:p>
        </w:tc>
        <w:tc>
          <w:tcPr>
            <w:tcW w:type="dxa" w:w="46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4</w:t>
            </w:r>
          </w:p>
        </w:tc>
        <w:tc>
          <w:tcPr>
            <w:tcW w:type="dxa" w:w="74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8 Moderado</w:t>
            </w:r>
          </w:p>
        </w:tc>
        <w:tc>
          <w:tcPr>
            <w:tcW w:type="dxa" w:w="115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Revisión legal previa</w:t>
            </w:r>
          </w:p>
        </w:tc>
        <w:tc>
          <w:tcPr>
            <w:tcW w:type="dxa" w:w="8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Fuerte (0.4)</w:t>
            </w:r>
          </w:p>
        </w:tc>
        <w:tc>
          <w:tcPr>
            <w:tcW w:type="dxa" w:w="8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3.2 Bajo</w:t>
            </w:r>
          </w:p>
        </w:tc>
        <w:tc>
          <w:tcPr>
            <w:tcW w:type="dxa" w:w="115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Lista previa al desembolso</w:t>
            </w:r>
          </w:p>
        </w:tc>
        <w:tc>
          <w:tcPr>
            <w:tcW w:type="dxa" w:w="99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Legal</w:t>
            </w:r>
          </w:p>
        </w:tc>
        <w:tc>
          <w:tcPr>
            <w:tcW w:type="dxa" w:w="100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Antes del desembolso</w:t>
            </w:r>
          </w:p>
        </w:tc>
      </w:tr>
      <w:tr>
        <w:trPr>
          <w:cantSplit/>
        </w:trPr>
        <w:tc>
          <w:tcPr>
            <w:tcW w:type="dxa" w:w="108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Operacional</w:t>
            </w:r>
          </w:p>
        </w:tc>
        <w:tc>
          <w:tcPr>
            <w:tcW w:type="dxa" w:w="108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Errores de captura o de proceso</w:t>
            </w:r>
          </w:p>
        </w:tc>
        <w:tc>
          <w:tcPr>
            <w:tcW w:type="dxa" w:w="102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Cálculo o desembolso incorrecto</w:t>
            </w:r>
          </w:p>
        </w:tc>
        <w:tc>
          <w:tcPr>
            <w:tcW w:type="dxa" w:w="102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Pérdida o reclamo</w:t>
            </w:r>
          </w:p>
        </w:tc>
        <w:tc>
          <w:tcPr>
            <w:tcW w:type="dxa" w:w="108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Diferencias entre informe y sistema</w:t>
            </w:r>
          </w:p>
        </w:tc>
        <w:tc>
          <w:tcPr>
            <w:tcW w:type="dxa" w:w="46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3</w:t>
            </w:r>
          </w:p>
        </w:tc>
        <w:tc>
          <w:tcPr>
            <w:tcW w:type="dxa" w:w="46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3</w:t>
            </w:r>
          </w:p>
        </w:tc>
        <w:tc>
          <w:tcPr>
            <w:tcW w:type="dxa" w:w="74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9 Moderado</w:t>
            </w:r>
          </w:p>
        </w:tc>
        <w:tc>
          <w:tcPr>
            <w:tcW w:type="dxa" w:w="115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Doble revisión</w:t>
            </w:r>
          </w:p>
        </w:tc>
        <w:tc>
          <w:tcPr>
            <w:tcW w:type="dxa" w:w="8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Adecuado (0.6)</w:t>
            </w:r>
          </w:p>
        </w:tc>
        <w:tc>
          <w:tcPr>
            <w:tcW w:type="dxa" w:w="8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5.4 Moderado</w:t>
            </w:r>
          </w:p>
        </w:tc>
        <w:tc>
          <w:tcPr>
            <w:tcW w:type="dxa" w:w="115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Hoja de cálculo bloqueada; control dual</w:t>
            </w:r>
          </w:p>
        </w:tc>
        <w:tc>
          <w:tcPr>
            <w:tcW w:type="dxa" w:w="99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Operaciones</w:t>
            </w:r>
          </w:p>
        </w:tc>
        <w:tc>
          <w:tcPr>
            <w:tcW w:type="dxa" w:w="100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Mensual</w:t>
            </w:r>
          </w:p>
        </w:tc>
      </w:tr>
      <w:tr>
        <w:trPr>
          <w:cantSplit/>
        </w:trPr>
        <w:tc>
          <w:tcPr>
            <w:tcW w:type="dxa" w:w="108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Económico externo</w:t>
            </w:r>
          </w:p>
        </w:tc>
        <w:tc>
          <w:tcPr>
            <w:tcW w:type="dxa" w:w="108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Inflación, caída de demanda o remesas</w:t>
            </w:r>
          </w:p>
        </w:tc>
        <w:tc>
          <w:tcPr>
            <w:tcW w:type="dxa" w:w="102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Deterioro general de ingresos</w:t>
            </w:r>
          </w:p>
        </w:tc>
        <w:tc>
          <w:tcPr>
            <w:tcW w:type="dxa" w:w="102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Aumento de mora en cartera</w:t>
            </w:r>
          </w:p>
        </w:tc>
        <w:tc>
          <w:tcPr>
            <w:tcW w:type="dxa" w:w="108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Indicadores macro y sectoriales</w:t>
            </w:r>
          </w:p>
        </w:tc>
        <w:tc>
          <w:tcPr>
            <w:tcW w:type="dxa" w:w="46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2</w:t>
            </w:r>
          </w:p>
        </w:tc>
        <w:tc>
          <w:tcPr>
            <w:tcW w:type="dxa" w:w="46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4</w:t>
            </w:r>
          </w:p>
        </w:tc>
        <w:tc>
          <w:tcPr>
            <w:tcW w:type="dxa" w:w="74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8 Moderado</w:t>
            </w:r>
          </w:p>
        </w:tc>
        <w:tc>
          <w:tcPr>
            <w:tcW w:type="dxa" w:w="115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Escenarios adversos</w:t>
            </w:r>
          </w:p>
        </w:tc>
        <w:tc>
          <w:tcPr>
            <w:tcW w:type="dxa" w:w="8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Adecuado (0.6)</w:t>
            </w:r>
          </w:p>
        </w:tc>
        <w:tc>
          <w:tcPr>
            <w:tcW w:type="dxa" w:w="8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4.8 Bajo</w:t>
            </w:r>
          </w:p>
        </w:tc>
        <w:tc>
          <w:tcPr>
            <w:tcW w:type="dxa" w:w="115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Revisión de política sectorial</w:t>
            </w:r>
          </w:p>
        </w:tc>
        <w:tc>
          <w:tcPr>
            <w:tcW w:type="dxa" w:w="99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Riesgos</w:t>
            </w:r>
          </w:p>
        </w:tc>
        <w:tc>
          <w:tcPr>
            <w:tcW w:type="dxa" w:w="100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Trimestral</w:t>
            </w:r>
          </w:p>
        </w:tc>
      </w:tr>
      <w:tr>
        <w:trPr>
          <w:cantSplit/>
        </w:trPr>
        <w:tc>
          <w:tcPr>
            <w:tcW w:type="dxa" w:w="108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Concentración de exposición</w:t>
            </w:r>
          </w:p>
        </w:tc>
        <w:tc>
          <w:tcPr>
            <w:tcW w:type="dxa" w:w="108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Muchos créditos ligados al mismo factor</w:t>
            </w:r>
          </w:p>
        </w:tc>
        <w:tc>
          <w:tcPr>
            <w:tcW w:type="dxa" w:w="102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Varios deudores fallan a la vez</w:t>
            </w:r>
          </w:p>
        </w:tc>
        <w:tc>
          <w:tcPr>
            <w:tcW w:type="dxa" w:w="102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Pérdida simultánea elevada</w:t>
            </w:r>
          </w:p>
        </w:tc>
        <w:tc>
          <w:tcPr>
            <w:tcW w:type="dxa" w:w="108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Participación por sector o empleador</w:t>
            </w:r>
          </w:p>
        </w:tc>
        <w:tc>
          <w:tcPr>
            <w:tcW w:type="dxa" w:w="46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2</w:t>
            </w:r>
          </w:p>
        </w:tc>
        <w:tc>
          <w:tcPr>
            <w:tcW w:type="dxa" w:w="46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5</w:t>
            </w:r>
          </w:p>
        </w:tc>
        <w:tc>
          <w:tcPr>
            <w:tcW w:type="dxa" w:w="74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10 Alto</w:t>
            </w:r>
          </w:p>
        </w:tc>
        <w:tc>
          <w:tcPr>
            <w:tcW w:type="dxa" w:w="115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Límites internos de concentración</w:t>
            </w:r>
          </w:p>
        </w:tc>
        <w:tc>
          <w:tcPr>
            <w:tcW w:type="dxa" w:w="8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Adecuado (0.6)</w:t>
            </w:r>
          </w:p>
        </w:tc>
        <w:tc>
          <w:tcPr>
            <w:tcW w:type="dxa" w:w="8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6 Moderado</w:t>
            </w:r>
          </w:p>
        </w:tc>
        <w:tc>
          <w:tcPr>
            <w:tcW w:type="dxa" w:w="115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Reporte de concentración al comité</w:t>
            </w:r>
          </w:p>
        </w:tc>
        <w:tc>
          <w:tcPr>
            <w:tcW w:type="dxa" w:w="99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Riesgos</w:t>
            </w:r>
          </w:p>
        </w:tc>
        <w:tc>
          <w:tcPr>
            <w:tcW w:type="dxa" w:w="100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Mensual</w:t>
            </w:r>
          </w:p>
        </w:tc>
      </w:tr>
    </w:tbl>
    <w:p>
      <w:pPr>
        <w:spacing w:after="120"/>
      </w:pPr>
    </w:p>
    <w:p>
      <w:pPr>
        <w:keepNext w:val="false"/>
        <w:spacing w:after="120" w:before="0"/>
        <w:jc w:val="both"/>
      </w:pPr>
      <w:r>
        <w:rPr>
          <w:b/>
          <w:bCs/>
          <w:sz w:val="18"/>
          <w:szCs w:val="18"/>
        </w:rPr>
        <w:t xml:space="preserve">Lectura de la matriz:</w:t>
      </w:r>
      <w:r>
        <w:rPr>
          <w:sz w:val="18"/>
          <w:szCs w:val="18"/>
        </w:rPr>
        <w:t xml:space="preserve"> cada fila se completa para la operación concreta. Los valores mostrados son ilustrativos. Los riesgos con residual alto o crítico deben reflejarse en la recomendación del informe y en las condiciones de aprobación.</w:t>
      </w:r>
    </w:p>
    <w:p>
      <w:pPr>
        <w:sectPr>
          <w:headerReference w:type="default" r:id="rId11"/>
          <w:footerReference w:type="default" r:id="rId12"/>
          <w:type w:val="nextPage"/>
          <w:pgSz w:w="15840" w:h="12240" w:orient="landscape"/>
          <w:pgMar w:top="1080" w:right="1440" w:bottom="1000" w:left="1440" w:header="500" w:footer="500" w:gutter="0"/>
          <w:pgNumType/>
          <w:docGrid w:linePitch="360"/>
        </w:sectPr>
      </w:pPr>
    </w:p>
    <w:p>
      <w:pPr>
        <w:pStyle w:val="Heading2"/>
        <w:keepNext/>
      </w:pPr>
      <w:r>
        <w:t xml:space="preserve">9.7 Mitigación: opciones disponibles</w:t>
      </w:r>
    </w:p>
    <w:p>
      <w:pPr>
        <w:keepNext/>
        <w:spacing w:after="60" w:before="120"/>
      </w:pPr>
      <w:r>
        <w:rPr>
          <w:b/>
          <w:bCs/>
          <w:color w:val="1F3864"/>
          <w:sz w:val="19"/>
          <w:szCs w:val="19"/>
        </w:rPr>
        <w:t xml:space="preserve">Tabla 9.7. Opciones de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0"/>
        <w:gridCol w:w="6740"/>
      </w:tblGrid>
      <w:tr>
        <w:trPr>
          <w:cantSplit/>
          <w:tblHeader/>
        </w:trPr>
        <w:tc>
          <w:tcPr>
            <w:tcW w:type="dxa" w:w="262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Riesgo dominante</w:t>
            </w:r>
          </w:p>
        </w:tc>
        <w:tc>
          <w:tcPr>
            <w:tcW w:type="dxa" w:w="674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Opciones de mitigación (según política)</w:t>
            </w:r>
          </w:p>
        </w:tc>
      </w:tr>
      <w:tr>
        <w:trPr>
          <w:cantSplit/>
        </w:trPr>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Capacidad ajustada</w:t>
            </w:r>
          </w:p>
        </w:tc>
        <w:tc>
          <w:tcPr>
            <w:tcW w:type="dxa" w:w="67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Reducir monto; ampliar plazo dentro de lo prudente; exigir aporte propio; codeudor con capacidad verificada.</w:t>
            </w:r>
          </w:p>
        </w:tc>
      </w:tr>
      <w:tr>
        <w:trPr>
          <w:cantSplit/>
        </w:trPr>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Ingresos variables</w:t>
            </w:r>
          </w:p>
        </w:tc>
        <w:tc>
          <w:tcPr>
            <w:tcW w:type="dxa" w:w="67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Base de ingreso conservadora; cuotas acordes a estacionalidad cuando el producto lo permita; seguimiento trimestral.</w:t>
            </w:r>
          </w:p>
        </w:tc>
      </w:tr>
      <w:tr>
        <w:trPr>
          <w:cantSplit/>
        </w:trPr>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Sobreendeudamiento</w:t>
            </w:r>
          </w:p>
        </w:tc>
        <w:tc>
          <w:tcPr>
            <w:tcW w:type="dxa" w:w="67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Consolidación con cancelación directa de deudas; reducción de límites de tarjetas.</w:t>
            </w:r>
          </w:p>
        </w:tc>
      </w:tr>
      <w:tr>
        <w:trPr>
          <w:cantSplit/>
        </w:trPr>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Información dudosa</w:t>
            </w:r>
          </w:p>
        </w:tc>
        <w:tc>
          <w:tcPr>
            <w:tcW w:type="dxa" w:w="67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Verificaciones adicionales; visita; documentos originales; suspender hasta aclarar.</w:t>
            </w:r>
          </w:p>
        </w:tc>
      </w:tr>
      <w:tr>
        <w:trPr>
          <w:cantSplit/>
        </w:trPr>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Garantía débil</w:t>
            </w:r>
          </w:p>
        </w:tc>
        <w:tc>
          <w:tcPr>
            <w:tcW w:type="dxa" w:w="67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Garantía adicional; revaluación; seguros; reducción de LTV.</w:t>
            </w:r>
          </w:p>
        </w:tc>
      </w:tr>
      <w:tr>
        <w:trPr>
          <w:cantSplit/>
        </w:trPr>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Riesgo jurídico</w:t>
            </w:r>
          </w:p>
        </w:tc>
        <w:tc>
          <w:tcPr>
            <w:tcW w:type="dxa" w:w="67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Revisión legal previa; condiciones suspensivas al desembolso.</w:t>
            </w:r>
          </w:p>
        </w:tc>
      </w:tr>
      <w:tr>
        <w:trPr>
          <w:cantSplit/>
        </w:trPr>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Riesgo externo</w:t>
            </w:r>
          </w:p>
        </w:tc>
        <w:tc>
          <w:tcPr>
            <w:tcW w:type="dxa" w:w="67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Escenarios adversos más severos; límites sectoriales; monitoreo de alertas.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B23B2A" w:sz="4"/>
              <w:left w:val="single" w:color="B23B2A" w:sz="24"/>
              <w:bottom w:val="single" w:color="B23B2A" w:sz="4"/>
              <w:right w:val="single" w:color="B23B2A" w:sz="4"/>
            </w:tcBorders>
            <w:shd w:fill="FBE9E7" w:color="auto" w:val="clear"/>
            <w:tcMar>
              <w:top w:type="dxa" w:w="100"/>
              <w:left w:type="dxa" w:w="180"/>
              <w:bottom w:type="dxa" w:w="100"/>
              <w:right w:type="dxa" w:w="180"/>
            </w:tcMar>
          </w:tcPr>
          <w:p>
            <w:pPr>
              <w:spacing w:after="60"/>
            </w:pPr>
            <w:r>
              <w:rPr>
                <w:b/>
                <w:bCs/>
                <w:color w:val="B23B2A"/>
                <w:sz w:val="20"/>
                <w:szCs w:val="20"/>
              </w:rPr>
              <w:t xml:space="preserve">Señal de alerta / error que debe evitarse</w:t>
            </w:r>
          </w:p>
          <w:p>
            <w:pPr>
              <w:spacing w:after="50"/>
              <w:jc w:val="left"/>
            </w:pPr>
            <w:r>
              <w:rPr>
                <w:sz w:val="20"/>
                <w:szCs w:val="20"/>
              </w:rPr>
              <w:t xml:space="preserve">Mitigar no es «maquillar». Si después de las acciones de mitigación persiste un riesgo crítico (por ejemplo, capacidad residual negativa), la recomendación debe ser desfavorable o requerir análisis especializado.</w:t>
            </w:r>
          </w:p>
        </w:tc>
      </w:tr>
    </w:tbl>
    <w:p>
      <w:pPr>
        <w:spacing w:after="120"/>
      </w:pPr>
    </w:p>
    <w:p>
      <w:pPr>
        <w:pStyle w:val="Heading1"/>
        <w:pageBreakBefore/>
      </w:pPr>
      <w:r>
        <w:t xml:space="preserve">Capítulo 10. Cálculo de la solvencia y clasificación crediticia</w:t>
      </w:r>
    </w:p>
    <w:p>
      <w:pPr>
        <w:keepNext w:val="false"/>
        <w:spacing w:after="120" w:before="0"/>
        <w:jc w:val="both"/>
      </w:pPr>
      <w:r>
        <w:rPr>
          <w:i/>
          <w:iCs/>
        </w:rPr>
        <w:t xml:space="preserve">Desarrolla el apartado original 8: «Cálculo de la solvencia o perfil de riesgo crediticio del prestatario».</w:t>
      </w:r>
    </w:p>
    <w:p>
      <w:pPr>
        <w:pStyle w:val="Heading2"/>
        <w:keepNext/>
      </w:pPr>
      <w:r>
        <w:t xml:space="preserve">10.1 Propósito</w:t>
      </w:r>
    </w:p>
    <w:p>
      <w:pPr>
        <w:keepNext w:val="false"/>
        <w:spacing w:after="120" w:before="0"/>
        <w:jc w:val="both"/>
      </w:pPr>
      <w:r>
        <w:t xml:space="preserve">La calificación interna integra en un resultado comparable toda la información analizada: capacidad, comportamiento de pago, estabilidad, endeudamiento, garantías y calidad documental. Sirve para </w:t>
      </w:r>
      <w:r>
        <w:rPr>
          <w:b/>
          <w:bCs/>
        </w:rPr>
        <w:t xml:space="preserve">ordenar</w:t>
      </w:r>
      <w:r>
        <w:t xml:space="preserve"> las operaciones por nivel de riesgo, </w:t>
      </w:r>
      <w:r>
        <w:rPr>
          <w:b/>
          <w:bCs/>
        </w:rPr>
        <w:t xml:space="preserve">aplicar criterios consistentes</w:t>
      </w:r>
      <w:r>
        <w:t xml:space="preserve"> y </w:t>
      </w:r>
      <w:r>
        <w:rPr>
          <w:b/>
          <w:bCs/>
        </w:rPr>
        <w:t xml:space="preserve">comunicar</w:t>
      </w:r>
      <w:r>
        <w:t xml:space="preserve"> de forma simple el perfil de cada solicitante. No reemplaza el juicio del analista ni elimina los riesgos críticos.</w:t>
      </w:r>
    </w:p>
    <w:p>
      <w:pPr>
        <w:pStyle w:val="Heading2"/>
        <w:keepNext/>
      </w:pPr>
      <w:r>
        <w:t xml:space="preserve">10.2 Herramientas disponibles</w:t>
      </w:r>
    </w:p>
    <w:p>
      <w:pPr>
        <w:keepNext/>
        <w:spacing w:after="60" w:before="120"/>
      </w:pPr>
      <w:r>
        <w:rPr>
          <w:b/>
          <w:bCs/>
          <w:color w:val="1F3864"/>
          <w:sz w:val="19"/>
          <w:szCs w:val="19"/>
        </w:rPr>
        <w:t xml:space="preserve">Tabla 10.1. Herramientas de calificación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2620"/>
        <w:gridCol w:w="2433"/>
        <w:gridCol w:w="2248"/>
      </w:tblGrid>
      <w:tr>
        <w:trPr>
          <w:cantSplit/>
          <w:tblHeader/>
        </w:trPr>
        <w:tc>
          <w:tcPr>
            <w:tcW w:type="dxa" w:w="205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Herramienta</w:t>
            </w:r>
          </w:p>
        </w:tc>
        <w:tc>
          <w:tcPr>
            <w:tcW w:type="dxa" w:w="262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Qué es</w:t>
            </w:r>
          </w:p>
        </w:tc>
        <w:tc>
          <w:tcPr>
            <w:tcW w:type="dxa" w:w="2433"/>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Uso adecuado</w:t>
            </w:r>
          </w:p>
        </w:tc>
        <w:tc>
          <w:tcPr>
            <w:tcW w:type="dxa" w:w="2248"/>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Limitación</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Modelo de puntuación interno (scorecard)</w:t>
            </w:r>
          </w:p>
        </w:tc>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Matriz de factores ponderados construida por la institución.</w:t>
            </w:r>
          </w:p>
        </w:tc>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Estandarizar la evaluación de productos masivos.</w:t>
            </w:r>
          </w:p>
        </w:tc>
        <w:tc>
          <w:tcPr>
            <w:tcW w:type="dxa" w:w="22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Requiere validación estadística con datos propios.</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Calificación interna por categorías</w:t>
            </w:r>
          </w:p>
        </w:tc>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Escala de riesgo (por ejemplo, de 1 a 8) definida por política.</w:t>
            </w:r>
          </w:p>
        </w:tc>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Comunicar el riesgo al comité y fijar condiciones.</w:t>
            </w:r>
          </w:p>
        </w:tc>
        <w:tc>
          <w:tcPr>
            <w:tcW w:type="dxa" w:w="22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Puede volverse subjetiva sin criterios claros.</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Puntuación de fuentes externas</w:t>
            </w:r>
          </w:p>
        </w:tc>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Score de agencias de información de datos.</w:t>
            </w:r>
          </w:p>
        </w:tc>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Insumo sobre comportamiento de pago.</w:t>
            </w:r>
          </w:p>
        </w:tc>
        <w:tc>
          <w:tcPr>
            <w:tcW w:type="dxa" w:w="22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No conoce la operación ni verifica ingresos.</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Clasificación regulatoria</w:t>
            </w:r>
          </w:p>
        </w:tc>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Categoría de riesgo según la norma aplicable (por ejemplo, NCB-022 para sujetos obligados).</w:t>
            </w:r>
          </w:p>
        </w:tc>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Constitución de reservas y reporte al supervisor.</w:t>
            </w:r>
          </w:p>
        </w:tc>
        <w:tc>
          <w:tcPr>
            <w:tcW w:type="dxa" w:w="22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Tiene finalidad prudencial; no es un modelo de aprobación.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2E7D32" w:sz="4"/>
              <w:left w:val="single" w:color="2E7D32" w:sz="24"/>
              <w:bottom w:val="single" w:color="2E7D32" w:sz="4"/>
              <w:right w:val="single" w:color="2E7D32" w:sz="4"/>
            </w:tcBorders>
            <w:shd w:fill="E8F5E9" w:color="auto" w:val="clear"/>
            <w:tcMar>
              <w:top w:type="dxa" w:w="100"/>
              <w:left w:type="dxa" w:w="180"/>
              <w:bottom w:type="dxa" w:w="100"/>
              <w:right w:type="dxa" w:w="180"/>
            </w:tcMar>
          </w:tcPr>
          <w:p>
            <w:pPr>
              <w:spacing w:after="60"/>
            </w:pPr>
            <w:r>
              <w:rPr>
                <w:b/>
                <w:bCs/>
                <w:color w:val="2E7D32"/>
                <w:sz w:val="20"/>
                <w:szCs w:val="20"/>
              </w:rPr>
              <w:t xml:space="preserve">Referencia normativa</w:t>
            </w:r>
          </w:p>
          <w:p>
            <w:pPr>
              <w:spacing w:after="50"/>
              <w:jc w:val="left"/>
            </w:pPr>
            <w:r>
              <w:rPr>
                <w:sz w:val="20"/>
                <w:szCs w:val="20"/>
              </w:rPr>
              <w:t xml:space="preserve">Para las entidades sujetas a la NCB-022, los activos de riesgo crediticio deben estar clasificados en todo momento en las categorías que la norma establece, y los créditos de vivienda y consumo se clasifican mensualmente según su comportamiento de pago. Esta clasificación regulatoria es </w:t>
            </w:r>
            <w:r>
              <w:rPr>
                <w:b/>
                <w:bCs/>
                <w:sz w:val="20"/>
                <w:szCs w:val="20"/>
              </w:rPr>
              <w:t xml:space="preserve">distinta</w:t>
            </w:r>
            <w:r>
              <w:rPr>
                <w:sz w:val="20"/>
                <w:szCs w:val="20"/>
              </w:rPr>
              <w:t xml:space="preserve"> de la calificación interna de originación que se propone en este capítulo; las categorías, días de mora y porcentajes de reserva deben tomarse del texto vigente de la norma.</w:t>
            </w:r>
          </w:p>
        </w:tc>
      </w:tr>
    </w:tbl>
    <w:p>
      <w:pPr>
        <w:spacing w:after="120"/>
      </w:pPr>
    </w:p>
    <w:p>
      <w:pPr>
        <w:pStyle w:val="Heading2"/>
        <w:keepNext/>
      </w:pPr>
      <w:r>
        <w:t xml:space="preserve">10.3 Matriz de puntuación propuesta</w:t>
      </w:r>
    </w:p>
    <w:p>
      <w:pPr>
        <w:keepNext w:val="false"/>
        <w:spacing w:after="120" w:before="0"/>
        <w:jc w:val="both"/>
      </w:pPr>
      <w:r>
        <w:t xml:space="preserve">Se propone una matriz de seis factores en escala de 1 (muy desfavorable) a 5 (muy favorable). La puntuación ponderada se convierte a una escala de 0 a 100 multiplicándola por 20.</w:t>
      </w:r>
    </w:p>
    <w:p>
      <w:pPr>
        <w:keepNext/>
        <w:spacing w:after="60" w:before="120"/>
      </w:pPr>
      <w:r>
        <w:rPr>
          <w:b/>
          <w:bCs/>
          <w:color w:val="1F3864"/>
          <w:sz w:val="19"/>
          <w:szCs w:val="19"/>
        </w:rPr>
        <w:t xml:space="preserve">Tabla 10.2. Factores y ponderaciones (propuesta para validación)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6"/>
        <w:gridCol w:w="1310"/>
        <w:gridCol w:w="4494"/>
      </w:tblGrid>
      <w:tr>
        <w:trPr>
          <w:cantSplit/>
          <w:tblHeader/>
        </w:trPr>
        <w:tc>
          <w:tcPr>
            <w:tcW w:type="dxa" w:w="355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Factor</w:t>
            </w:r>
          </w:p>
        </w:tc>
        <w:tc>
          <w:tcPr>
            <w:tcW w:type="dxa" w:w="131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Ponderación</w:t>
            </w:r>
          </w:p>
        </w:tc>
        <w:tc>
          <w:tcPr>
            <w:tcW w:type="dxa" w:w="4494"/>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Justificación de la ponderación</w:t>
            </w:r>
          </w:p>
        </w:tc>
      </w:tr>
      <w:tr>
        <w:trPr>
          <w:cantSplit/>
        </w:trPr>
        <w:tc>
          <w:tcPr>
            <w:tcW w:type="dxa" w:w="355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Capacidad de pago (capacidad residual y cobertura)</w:t>
            </w:r>
          </w:p>
        </w:tc>
        <w:tc>
          <w:tcPr>
            <w:tcW w:type="dxa" w:w="131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30 %</w:t>
            </w:r>
          </w:p>
        </w:tc>
        <w:tc>
          <w:tcPr>
            <w:tcW w:type="dxa" w:w="449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Es la primera fuente de repago; su debilidad explica la mayor parte de los incumplimientos.</w:t>
            </w:r>
          </w:p>
        </w:tc>
      </w:tr>
      <w:tr>
        <w:trPr>
          <w:cantSplit/>
        </w:trPr>
        <w:tc>
          <w:tcPr>
            <w:tcW w:type="dxa" w:w="355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Historial crediticio</w:t>
            </w:r>
          </w:p>
        </w:tc>
        <w:tc>
          <w:tcPr>
            <w:tcW w:type="dxa" w:w="131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20 %</w:t>
            </w:r>
          </w:p>
        </w:tc>
        <w:tc>
          <w:tcPr>
            <w:tcW w:type="dxa" w:w="449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Mejor evidencia disponible de la voluntad de pago.</w:t>
            </w:r>
          </w:p>
        </w:tc>
      </w:tr>
      <w:tr>
        <w:trPr>
          <w:cantSplit/>
        </w:trPr>
        <w:tc>
          <w:tcPr>
            <w:tcW w:type="dxa" w:w="355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Estabilidad de ingresos</w:t>
            </w:r>
          </w:p>
        </w:tc>
        <w:tc>
          <w:tcPr>
            <w:tcW w:type="dxa" w:w="131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15 %</w:t>
            </w:r>
          </w:p>
        </w:tc>
        <w:tc>
          <w:tcPr>
            <w:tcW w:type="dxa" w:w="449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Determina si la capacidad actual se mantendrá durante el plazo.</w:t>
            </w:r>
          </w:p>
        </w:tc>
      </w:tr>
      <w:tr>
        <w:trPr>
          <w:cantSplit/>
        </w:trPr>
        <w:tc>
          <w:tcPr>
            <w:tcW w:type="dxa" w:w="355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Nivel de endeudamiento</w:t>
            </w:r>
          </w:p>
        </w:tc>
        <w:tc>
          <w:tcPr>
            <w:tcW w:type="dxa" w:w="131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15 %</w:t>
            </w:r>
          </w:p>
        </w:tc>
        <w:tc>
          <w:tcPr>
            <w:tcW w:type="dxa" w:w="449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Mide la presión de las deudas sobre el ingreso y la vulnerabilidad ante shocks.</w:t>
            </w:r>
          </w:p>
        </w:tc>
      </w:tr>
      <w:tr>
        <w:trPr>
          <w:cantSplit/>
        </w:trPr>
        <w:tc>
          <w:tcPr>
            <w:tcW w:type="dxa" w:w="355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Garantías y mitigantes</w:t>
            </w:r>
          </w:p>
        </w:tc>
        <w:tc>
          <w:tcPr>
            <w:tcW w:type="dxa" w:w="131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10 %</w:t>
            </w:r>
          </w:p>
        </w:tc>
        <w:tc>
          <w:tcPr>
            <w:tcW w:type="dxa" w:w="449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Reduce la pérdida si ocurre el incumplimiento, pero no la probabilidad; por eso pesa menos.</w:t>
            </w:r>
          </w:p>
        </w:tc>
      </w:tr>
      <w:tr>
        <w:trPr>
          <w:cantSplit/>
        </w:trPr>
        <w:tc>
          <w:tcPr>
            <w:tcW w:type="dxa" w:w="355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Calidad de la información y documentación</w:t>
            </w:r>
          </w:p>
        </w:tc>
        <w:tc>
          <w:tcPr>
            <w:tcW w:type="dxa" w:w="131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10 %</w:t>
            </w:r>
          </w:p>
        </w:tc>
        <w:tc>
          <w:tcPr>
            <w:tcW w:type="dxa" w:w="449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La confiabilidad de todos los demás factores depende de ella.</w:t>
            </w:r>
          </w:p>
        </w:tc>
      </w:tr>
    </w:tbl>
    <w:p>
      <w:pPr>
        <w:spacing w:after="120"/>
      </w:pPr>
    </w:p>
    <w:p>
      <w:pPr>
        <w:keepNext/>
        <w:spacing w:after="60" w:before="120"/>
      </w:pPr>
      <w:r>
        <w:rPr>
          <w:b/>
          <w:bCs/>
          <w:color w:val="1F3864"/>
          <w:sz w:val="19"/>
          <w:szCs w:val="19"/>
        </w:rPr>
        <w:t xml:space="preserve">Tabla 10.3. Escalas de calificación por factor (umbrales orientativos)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1404"/>
        <w:gridCol w:w="1404"/>
        <w:gridCol w:w="1497"/>
        <w:gridCol w:w="1404"/>
        <w:gridCol w:w="1405"/>
      </w:tblGrid>
      <w:tr>
        <w:trPr>
          <w:cantSplit/>
          <w:tblHeader/>
        </w:trPr>
        <w:tc>
          <w:tcPr>
            <w:tcW w:type="dxa" w:w="224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Factor</w:t>
            </w:r>
          </w:p>
        </w:tc>
        <w:tc>
          <w:tcPr>
            <w:tcW w:type="dxa" w:w="1404"/>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1</w:t>
            </w:r>
          </w:p>
        </w:tc>
        <w:tc>
          <w:tcPr>
            <w:tcW w:type="dxa" w:w="1404"/>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2</w:t>
            </w:r>
          </w:p>
        </w:tc>
        <w:tc>
          <w:tcPr>
            <w:tcW w:type="dxa" w:w="1497"/>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3</w:t>
            </w:r>
          </w:p>
        </w:tc>
        <w:tc>
          <w:tcPr>
            <w:tcW w:type="dxa" w:w="1404"/>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4</w:t>
            </w:r>
          </w:p>
        </w:tc>
        <w:tc>
          <w:tcPr>
            <w:tcW w:type="dxa" w:w="1405"/>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5</w:t>
            </w:r>
          </w:p>
        </w:tc>
      </w:tr>
      <w:tr>
        <w:trPr>
          <w:cantSplit/>
        </w:trPr>
        <w:tc>
          <w:tcPr>
            <w:tcW w:type="dxa" w:w="224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6"/>
                <w:szCs w:val="16"/>
              </w:rPr>
              <w:t xml:space="preserve">Capacidad de pago</w:t>
            </w:r>
          </w:p>
        </w:tc>
        <w:tc>
          <w:tcPr>
            <w:tcW w:type="dxa" w:w="140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6"/>
                <w:szCs w:val="16"/>
              </w:rPr>
              <w:t xml:space="preserve">Residual negativa</w:t>
            </w:r>
          </w:p>
        </w:tc>
        <w:tc>
          <w:tcPr>
            <w:tcW w:type="dxa" w:w="140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6"/>
                <w:szCs w:val="16"/>
              </w:rPr>
              <w:t xml:space="preserve">Residual &lt; 10 % del ingreso neto</w:t>
            </w:r>
          </w:p>
        </w:tc>
        <w:tc>
          <w:tcPr>
            <w:tcW w:type="dxa" w:w="149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6"/>
                <w:szCs w:val="16"/>
              </w:rPr>
              <w:t xml:space="preserve">10 % a 25 %</w:t>
            </w:r>
          </w:p>
        </w:tc>
        <w:tc>
          <w:tcPr>
            <w:tcW w:type="dxa" w:w="140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6"/>
                <w:szCs w:val="16"/>
              </w:rPr>
              <w:t xml:space="preserve">&gt; 25 %, adverso positivo</w:t>
            </w:r>
          </w:p>
        </w:tc>
        <w:tc>
          <w:tcPr>
            <w:tcW w:type="dxa" w:w="140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6"/>
                <w:szCs w:val="16"/>
              </w:rPr>
              <w:t xml:space="preserve">&gt; 25 %, adverso holgado</w:t>
            </w:r>
          </w:p>
        </w:tc>
      </w:tr>
      <w:tr>
        <w:trPr>
          <w:cantSplit/>
        </w:trPr>
        <w:tc>
          <w:tcPr>
            <w:tcW w:type="dxa" w:w="224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6"/>
                <w:szCs w:val="16"/>
              </w:rPr>
              <w:t xml:space="preserve">Historial crediticio</w:t>
            </w:r>
          </w:p>
        </w:tc>
        <w:tc>
          <w:tcPr>
            <w:tcW w:type="dxa" w:w="140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6"/>
                <w:szCs w:val="16"/>
              </w:rPr>
              <w:t xml:space="preserve">Mora vigente o castigos</w:t>
            </w:r>
          </w:p>
        </w:tc>
        <w:tc>
          <w:tcPr>
            <w:tcW w:type="dxa" w:w="140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6"/>
                <w:szCs w:val="16"/>
              </w:rPr>
              <w:t xml:space="preserve">Atrasos recurrentes recientes</w:t>
            </w:r>
          </w:p>
        </w:tc>
        <w:tc>
          <w:tcPr>
            <w:tcW w:type="dxa" w:w="149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6"/>
                <w:szCs w:val="16"/>
              </w:rPr>
              <w:t xml:space="preserve">Atrasos aislados recientes / sin historial</w:t>
            </w:r>
          </w:p>
        </w:tc>
        <w:tc>
          <w:tcPr>
            <w:tcW w:type="dxa" w:w="140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6"/>
                <w:szCs w:val="16"/>
              </w:rPr>
              <w:t xml:space="preserve">Atrasos antiguos aislados</w:t>
            </w:r>
          </w:p>
        </w:tc>
        <w:tc>
          <w:tcPr>
            <w:tcW w:type="dxa" w:w="140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6"/>
                <w:szCs w:val="16"/>
              </w:rPr>
              <w:t xml:space="preserve">Sin atrasos 24 meses</w:t>
            </w:r>
          </w:p>
        </w:tc>
      </w:tr>
      <w:tr>
        <w:trPr>
          <w:cantSplit/>
        </w:trPr>
        <w:tc>
          <w:tcPr>
            <w:tcW w:type="dxa" w:w="224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6"/>
                <w:szCs w:val="16"/>
              </w:rPr>
              <w:t xml:space="preserve">Estabilidad de ingresos</w:t>
            </w:r>
          </w:p>
        </w:tc>
        <w:tc>
          <w:tcPr>
            <w:tcW w:type="dxa" w:w="140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6"/>
                <w:szCs w:val="16"/>
              </w:rPr>
              <w:t xml:space="preserve">Sin fuente estable</w:t>
            </w:r>
          </w:p>
        </w:tc>
        <w:tc>
          <w:tcPr>
            <w:tcW w:type="dxa" w:w="140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6"/>
                <w:szCs w:val="16"/>
              </w:rPr>
              <w:t xml:space="preserve">CV alto o &lt; 1 año</w:t>
            </w:r>
          </w:p>
        </w:tc>
        <w:tc>
          <w:tcPr>
            <w:tcW w:type="dxa" w:w="149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6"/>
                <w:szCs w:val="16"/>
              </w:rPr>
              <w:t xml:space="preserve">CV moderado o 1–2 años</w:t>
            </w:r>
          </w:p>
        </w:tc>
        <w:tc>
          <w:tcPr>
            <w:tcW w:type="dxa" w:w="140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6"/>
                <w:szCs w:val="16"/>
              </w:rPr>
              <w:t xml:space="preserve">Estable 2–5 años</w:t>
            </w:r>
          </w:p>
        </w:tc>
        <w:tc>
          <w:tcPr>
            <w:tcW w:type="dxa" w:w="140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6"/>
                <w:szCs w:val="16"/>
              </w:rPr>
              <w:t xml:space="preserve">Estable &gt; 5 años</w:t>
            </w:r>
          </w:p>
        </w:tc>
      </w:tr>
      <w:tr>
        <w:trPr>
          <w:cantSplit/>
        </w:trPr>
        <w:tc>
          <w:tcPr>
            <w:tcW w:type="dxa" w:w="224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6"/>
                <w:szCs w:val="16"/>
              </w:rPr>
              <w:t xml:space="preserve">Nivel de endeudamiento (relación deuda-ingreso)</w:t>
            </w:r>
          </w:p>
        </w:tc>
        <w:tc>
          <w:tcPr>
            <w:tcW w:type="dxa" w:w="140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6"/>
                <w:szCs w:val="16"/>
              </w:rPr>
              <w:t xml:space="preserve">&gt; 60 %</w:t>
            </w:r>
          </w:p>
        </w:tc>
        <w:tc>
          <w:tcPr>
            <w:tcW w:type="dxa" w:w="140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6"/>
                <w:szCs w:val="16"/>
              </w:rPr>
              <w:t xml:space="preserve">45 % a 60 %</w:t>
            </w:r>
          </w:p>
        </w:tc>
        <w:tc>
          <w:tcPr>
            <w:tcW w:type="dxa" w:w="149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6"/>
                <w:szCs w:val="16"/>
              </w:rPr>
              <w:t xml:space="preserve">30 % a 45 %</w:t>
            </w:r>
          </w:p>
        </w:tc>
        <w:tc>
          <w:tcPr>
            <w:tcW w:type="dxa" w:w="140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6"/>
                <w:szCs w:val="16"/>
              </w:rPr>
              <w:t xml:space="preserve">15 % a 30 %</w:t>
            </w:r>
          </w:p>
        </w:tc>
        <w:tc>
          <w:tcPr>
            <w:tcW w:type="dxa" w:w="140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6"/>
                <w:szCs w:val="16"/>
              </w:rPr>
              <w:t xml:space="preserve">&lt; 15 %</w:t>
            </w:r>
          </w:p>
        </w:tc>
      </w:tr>
      <w:tr>
        <w:trPr>
          <w:cantSplit/>
        </w:trPr>
        <w:tc>
          <w:tcPr>
            <w:tcW w:type="dxa" w:w="224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6"/>
                <w:szCs w:val="16"/>
              </w:rPr>
              <w:t xml:space="preserve">Garantías y mitigantes</w:t>
            </w:r>
          </w:p>
        </w:tc>
        <w:tc>
          <w:tcPr>
            <w:tcW w:type="dxa" w:w="140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6"/>
                <w:szCs w:val="16"/>
              </w:rPr>
              <w:t xml:space="preserve">Ninguna, riesgo alto</w:t>
            </w:r>
          </w:p>
        </w:tc>
        <w:tc>
          <w:tcPr>
            <w:tcW w:type="dxa" w:w="140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6"/>
                <w:szCs w:val="16"/>
              </w:rPr>
              <w:t xml:space="preserve">Fianza débil</w:t>
            </w:r>
          </w:p>
        </w:tc>
        <w:tc>
          <w:tcPr>
            <w:tcW w:type="dxa" w:w="149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6"/>
                <w:szCs w:val="16"/>
              </w:rPr>
              <w:t xml:space="preserve">Fianza con capacidad</w:t>
            </w:r>
          </w:p>
        </w:tc>
        <w:tc>
          <w:tcPr>
            <w:tcW w:type="dxa" w:w="140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6"/>
                <w:szCs w:val="16"/>
              </w:rPr>
              <w:t xml:space="preserve">Real con cobertura ≥ 1.0</w:t>
            </w:r>
          </w:p>
        </w:tc>
        <w:tc>
          <w:tcPr>
            <w:tcW w:type="dxa" w:w="140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6"/>
                <w:szCs w:val="16"/>
              </w:rPr>
              <w:t xml:space="preserve">Real con cobertura ≥ 1.3 o líquida</w:t>
            </w:r>
          </w:p>
        </w:tc>
      </w:tr>
      <w:tr>
        <w:trPr>
          <w:cantSplit/>
        </w:trPr>
        <w:tc>
          <w:tcPr>
            <w:tcW w:type="dxa" w:w="224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Calidad documental</w:t>
            </w:r>
          </w:p>
        </w:tc>
        <w:tc>
          <w:tcPr>
            <w:tcW w:type="dxa" w:w="140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Inconsistencias graves</w:t>
            </w:r>
          </w:p>
        </w:tc>
        <w:tc>
          <w:tcPr>
            <w:tcW w:type="dxa" w:w="140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Faltantes relevantes</w:t>
            </w:r>
          </w:p>
        </w:tc>
        <w:tc>
          <w:tcPr>
            <w:tcW w:type="dxa" w:w="149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Completa sin verificación</w:t>
            </w:r>
          </w:p>
        </w:tc>
        <w:tc>
          <w:tcPr>
            <w:tcW w:type="dxa" w:w="140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Completa, mayoría verificada</w:t>
            </w:r>
          </w:p>
        </w:tc>
        <w:tc>
          <w:tcPr>
            <w:tcW w:type="dxa" w:w="140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Completa y totalmente verificada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1F3864" w:sz="4"/>
              <w:left w:val="single" w:color="1F3864" w:sz="24"/>
              <w:bottom w:val="single" w:color="1F3864" w:sz="4"/>
              <w:right w:val="single" w:color="1F3864" w:sz="4"/>
            </w:tcBorders>
            <w:shd w:fill="DEEAF6" w:color="auto" w:val="clear"/>
            <w:tcMar>
              <w:top w:type="dxa" w:w="100"/>
              <w:left w:type="dxa" w:w="180"/>
              <w:bottom w:type="dxa" w:w="100"/>
              <w:right w:type="dxa" w:w="180"/>
            </w:tcMar>
          </w:tcPr>
          <w:p>
            <w:pPr>
              <w:spacing w:after="60"/>
            </w:pPr>
            <w:r>
              <w:rPr>
                <w:b/>
                <w:bCs/>
                <w:color w:val="1F3864"/>
                <w:sz w:val="20"/>
                <w:szCs w:val="20"/>
              </w:rPr>
              <w:t xml:space="preserve">Fórmula — puntuación global</w:t>
            </w:r>
          </w:p>
          <w:p>
            <w:pPr>
              <w:spacing w:after="50"/>
              <w:jc w:val="center"/>
            </w:pPr>
            <w:r>
              <w:rPr>
                <w:sz w:val="20"/>
                <w:szCs w:val="20"/>
              </w:rPr>
              <w:t xml:space="preserve">Puntuación ponderada = Σ (calificación del factor × ponderación)</w:t>
            </w:r>
          </w:p>
          <w:p>
            <w:pPr>
              <w:spacing w:after="50"/>
              <w:jc w:val="center"/>
            </w:pPr>
            <w:r>
              <w:rPr>
                <w:sz w:val="20"/>
                <w:szCs w:val="20"/>
              </w:rPr>
              <w:t xml:space="preserve">Puntuación sobre 100 = Puntuación ponderada × 20</w:t>
            </w:r>
          </w:p>
        </w:tc>
      </w:tr>
    </w:tbl>
    <w:p>
      <w:pPr>
        <w:spacing w:after="120"/>
      </w:pPr>
    </w:p>
    <w:p>
      <w:pPr>
        <w:keepNext/>
        <w:spacing w:after="60" w:before="120"/>
      </w:pPr>
      <w:r>
        <w:rPr>
          <w:b/>
          <w:bCs/>
          <w:color w:val="1F3864"/>
          <w:sz w:val="19"/>
          <w:szCs w:val="19"/>
        </w:rPr>
        <w:t xml:space="preserve">Tabla 10.4. Umbrales de resultado (propuesta orientativa)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182"/>
        <w:gridCol w:w="4119"/>
      </w:tblGrid>
      <w:tr>
        <w:trPr>
          <w:cantSplit/>
          <w:tblHeader/>
        </w:trPr>
        <w:tc>
          <w:tcPr>
            <w:tcW w:type="dxa" w:w="205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Puntuación (0–100)</w:t>
            </w:r>
          </w:p>
        </w:tc>
        <w:tc>
          <w:tcPr>
            <w:tcW w:type="dxa" w:w="318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Resultado propuesto</w:t>
            </w:r>
          </w:p>
        </w:tc>
        <w:tc>
          <w:tcPr>
            <w:tcW w:type="dxa" w:w="411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Significado</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80 a 100</w:t>
            </w:r>
          </w:p>
        </w:tc>
        <w:tc>
          <w:tcPr>
            <w:tcW w:type="dxa" w:w="318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Favorable</w:t>
            </w:r>
          </w:p>
        </w:tc>
        <w:tc>
          <w:tcPr>
            <w:tcW w:type="dxa" w:w="411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Perfil sólido; condiciones estándar.</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65 a 79</w:t>
            </w:r>
          </w:p>
        </w:tc>
        <w:tc>
          <w:tcPr>
            <w:tcW w:type="dxa" w:w="318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Favorable con condiciones</w:t>
            </w:r>
          </w:p>
        </w:tc>
        <w:tc>
          <w:tcPr>
            <w:tcW w:type="dxa" w:w="411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Perfil aceptable con debilidades mitigables (garantía, plazo, seguimiento).</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50 a 64</w:t>
            </w:r>
          </w:p>
        </w:tc>
        <w:tc>
          <w:tcPr>
            <w:tcW w:type="dxa" w:w="318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Información adicional requerida / Análisis especializado requerido</w:t>
            </w:r>
          </w:p>
        </w:tc>
        <w:tc>
          <w:tcPr>
            <w:tcW w:type="dxa" w:w="411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No es posible concluir con la información actual, o el caso requiere revisión de un nivel superior.</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Menor que 50</w:t>
            </w:r>
          </w:p>
        </w:tc>
        <w:tc>
          <w:tcPr>
            <w:tcW w:type="dxa" w:w="318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Desfavorable</w:t>
            </w:r>
          </w:p>
        </w:tc>
        <w:tc>
          <w:tcPr>
            <w:tcW w:type="dxa" w:w="411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Riesgo no aceptable con la información disponible.</w:t>
            </w:r>
          </w:p>
        </w:tc>
      </w:tr>
    </w:tbl>
    <w:p>
      <w:pPr>
        <w:spacing w:after="120"/>
      </w:pPr>
    </w:p>
    <w:p>
      <w:pPr>
        <w:pStyle w:val="Heading2"/>
        <w:keepNext/>
      </w:pPr>
      <w:r>
        <w:t xml:space="preserve">10.4 Ejemplo calculado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2E75B6" w:sz="4"/>
              <w:left w:val="single" w:color="2E75B6" w:sz="24"/>
              <w:bottom w:val="single" w:color="2E75B6" w:sz="4"/>
              <w:right w:val="single" w:color="2E75B6" w:sz="4"/>
            </w:tcBorders>
            <w:shd w:fill="F2F7FC" w:color="auto" w:val="clear"/>
            <w:tcMar>
              <w:top w:type="dxa" w:w="100"/>
              <w:left w:type="dxa" w:w="180"/>
              <w:bottom w:type="dxa" w:w="100"/>
              <w:right w:type="dxa" w:w="180"/>
            </w:tcMar>
          </w:tcPr>
          <w:p>
            <w:pPr>
              <w:spacing w:after="60"/>
            </w:pPr>
            <w:r>
              <w:rPr>
                <w:b/>
                <w:bCs/>
                <w:color w:val="2E75B6"/>
                <w:sz w:val="20"/>
                <w:szCs w:val="20"/>
              </w:rPr>
              <w:t xml:space="preserve">Ejemplo (datos ficticios) — puntuación del Caso 1 (persona asalariada)</w:t>
            </w:r>
          </w:p>
          <w:p>
            <w:pPr>
              <w:spacing w:after="50"/>
              <w:jc w:val="left"/>
            </w:pPr>
            <w:r>
              <w:rPr>
                <w:sz w:val="20"/>
                <w:szCs w:val="20"/>
              </w:rPr>
              <w:t xml:space="preserve">Capacidad de pago: residual US$444.96 = 37 % del ingreso neto; adverso positivo → </w:t>
            </w:r>
            <w:r>
              <w:rPr>
                <w:b/>
                <w:bCs/>
                <w:sz w:val="20"/>
                <w:szCs w:val="20"/>
              </w:rPr>
              <w:t xml:space="preserve">4</w:t>
            </w:r>
            <w:r>
              <w:rPr>
                <w:sz w:val="20"/>
                <w:szCs w:val="20"/>
              </w:rPr>
              <w:t xml:space="preserve"> × 0.30 = 1.20</w:t>
            </w:r>
          </w:p>
          <w:p>
            <w:pPr>
              <w:spacing w:after="50"/>
              <w:jc w:val="left"/>
            </w:pPr>
            <w:r>
              <w:rPr>
                <w:sz w:val="20"/>
                <w:szCs w:val="20"/>
              </w:rPr>
              <w:t xml:space="preserve">Historial: sin atrasos en 24 meses → </w:t>
            </w:r>
            <w:r>
              <w:rPr>
                <w:b/>
                <w:bCs/>
                <w:sz w:val="20"/>
                <w:szCs w:val="20"/>
              </w:rPr>
              <w:t xml:space="preserve">5</w:t>
            </w:r>
            <w:r>
              <w:rPr>
                <w:sz w:val="20"/>
                <w:szCs w:val="20"/>
              </w:rPr>
              <w:t xml:space="preserve"> × 0.20 = 1.00</w:t>
            </w:r>
          </w:p>
          <w:p>
            <w:pPr>
              <w:spacing w:after="50"/>
              <w:jc w:val="left"/>
            </w:pPr>
            <w:r>
              <w:rPr>
                <w:sz w:val="20"/>
                <w:szCs w:val="20"/>
              </w:rPr>
              <w:t xml:space="preserve">Estabilidad: 6 años con el mismo empleador, contrato indefinido → </w:t>
            </w:r>
            <w:r>
              <w:rPr>
                <w:b/>
                <w:bCs/>
                <w:sz w:val="20"/>
                <w:szCs w:val="20"/>
              </w:rPr>
              <w:t xml:space="preserve">5</w:t>
            </w:r>
            <w:r>
              <w:rPr>
                <w:sz w:val="20"/>
                <w:szCs w:val="20"/>
              </w:rPr>
              <w:t xml:space="preserve"> × 0.15 = 0.75</w:t>
            </w:r>
          </w:p>
          <w:p>
            <w:pPr>
              <w:spacing w:after="50"/>
              <w:jc w:val="left"/>
            </w:pPr>
            <w:r>
              <w:rPr>
                <w:sz w:val="20"/>
                <w:szCs w:val="20"/>
              </w:rPr>
              <w:t xml:space="preserve">Endeudamiento: relación deuda-ingreso 19.25 % → </w:t>
            </w:r>
            <w:r>
              <w:rPr>
                <w:b/>
                <w:bCs/>
                <w:sz w:val="20"/>
                <w:szCs w:val="20"/>
              </w:rPr>
              <w:t xml:space="preserve">4</w:t>
            </w:r>
            <w:r>
              <w:rPr>
                <w:sz w:val="20"/>
                <w:szCs w:val="20"/>
              </w:rPr>
              <w:t xml:space="preserve"> × 0.15 = 0.60</w:t>
            </w:r>
          </w:p>
          <w:p>
            <w:pPr>
              <w:spacing w:after="50"/>
              <w:jc w:val="left"/>
            </w:pPr>
            <w:r>
              <w:rPr>
                <w:sz w:val="20"/>
                <w:szCs w:val="20"/>
              </w:rPr>
              <w:t xml:space="preserve">Garantías: crédito sin garantía real ni fiador → </w:t>
            </w:r>
            <w:r>
              <w:rPr>
                <w:b/>
                <w:bCs/>
                <w:sz w:val="20"/>
                <w:szCs w:val="20"/>
              </w:rPr>
              <w:t xml:space="preserve">1</w:t>
            </w:r>
            <w:r>
              <w:rPr>
                <w:sz w:val="20"/>
                <w:szCs w:val="20"/>
              </w:rPr>
              <w:t xml:space="preserve"> × 0.10 = 0.10</w:t>
            </w:r>
          </w:p>
          <w:p>
            <w:pPr>
              <w:spacing w:after="50"/>
              <w:jc w:val="left"/>
            </w:pPr>
            <w:r>
              <w:rPr>
                <w:sz w:val="20"/>
                <w:szCs w:val="20"/>
              </w:rPr>
              <w:t xml:space="preserve">Calidad documental: completa y verificada → </w:t>
            </w:r>
            <w:r>
              <w:rPr>
                <w:b/>
                <w:bCs/>
                <w:sz w:val="20"/>
                <w:szCs w:val="20"/>
              </w:rPr>
              <w:t xml:space="preserve">5</w:t>
            </w:r>
            <w:r>
              <w:rPr>
                <w:sz w:val="20"/>
                <w:szCs w:val="20"/>
              </w:rPr>
              <w:t xml:space="preserve"> × 0.10 = 0.50</w:t>
            </w:r>
          </w:p>
          <w:p>
            <w:pPr>
              <w:spacing w:after="50"/>
              <w:jc w:val="left"/>
            </w:pPr>
            <w:r>
              <w:rPr>
                <w:sz w:val="20"/>
                <w:szCs w:val="20"/>
              </w:rPr>
              <w:t xml:space="preserve">Puntuación ponderada = 1.20 + 1.00 + 0.75 + 0.60 + 0.10 + 0.50 = </w:t>
            </w:r>
            <w:r>
              <w:rPr>
                <w:b/>
                <w:bCs/>
                <w:sz w:val="20"/>
                <w:szCs w:val="20"/>
              </w:rPr>
              <w:t xml:space="preserve">4.15</w:t>
            </w:r>
            <w:r>
              <w:rPr>
                <w:sz w:val="20"/>
                <w:szCs w:val="20"/>
              </w:rPr>
              <w:t xml:space="preserve">. Sobre 100: 4.15 × 20 = </w:t>
            </w:r>
            <w:r>
              <w:rPr>
                <w:b/>
                <w:bCs/>
                <w:sz w:val="20"/>
                <w:szCs w:val="20"/>
              </w:rPr>
              <w:t xml:space="preserve">83</w:t>
            </w:r>
            <w:r>
              <w:rPr>
                <w:sz w:val="20"/>
                <w:szCs w:val="20"/>
              </w:rPr>
              <w:t xml:space="preserve"> → </w:t>
            </w:r>
            <w:r>
              <w:rPr>
                <w:b/>
                <w:bCs/>
                <w:sz w:val="20"/>
                <w:szCs w:val="20"/>
              </w:rPr>
              <w:t xml:space="preserve">Favorable</w:t>
            </w:r>
            <w:r>
              <w:rPr>
                <w:sz w:val="20"/>
                <w:szCs w:val="20"/>
              </w:rPr>
              <w:t xml:space="preserv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2E75B6" w:sz="4"/>
              <w:left w:val="single" w:color="2E75B6" w:sz="24"/>
              <w:bottom w:val="single" w:color="2E75B6" w:sz="4"/>
              <w:right w:val="single" w:color="2E75B6" w:sz="4"/>
            </w:tcBorders>
            <w:shd w:fill="F2F7FC" w:color="auto" w:val="clear"/>
            <w:tcMar>
              <w:top w:type="dxa" w:w="100"/>
              <w:left w:type="dxa" w:w="180"/>
              <w:bottom w:type="dxa" w:w="100"/>
              <w:right w:type="dxa" w:w="180"/>
            </w:tcMar>
          </w:tcPr>
          <w:p>
            <w:pPr>
              <w:spacing w:after="60"/>
            </w:pPr>
            <w:r>
              <w:rPr>
                <w:b/>
                <w:bCs/>
                <w:color w:val="2E75B6"/>
                <w:sz w:val="20"/>
                <w:szCs w:val="20"/>
              </w:rPr>
              <w:t xml:space="preserve">Ejemplo (datos ficticios) — puntuación del Caso 4 (garantía suficiente, capacidad insuficiente)</w:t>
            </w:r>
          </w:p>
          <w:p>
            <w:pPr>
              <w:spacing w:after="50"/>
              <w:jc w:val="left"/>
            </w:pPr>
            <w:r>
              <w:rPr>
                <w:sz w:val="20"/>
                <w:szCs w:val="20"/>
              </w:rPr>
              <w:t xml:space="preserve">Capacidad </w:t>
            </w:r>
            <w:r>
              <w:rPr>
                <w:b/>
                <w:bCs/>
                <w:sz w:val="20"/>
                <w:szCs w:val="20"/>
              </w:rPr>
              <w:t xml:space="preserve">1</w:t>
            </w:r>
            <w:r>
              <w:rPr>
                <w:sz w:val="20"/>
                <w:szCs w:val="20"/>
              </w:rPr>
              <w:t xml:space="preserve"> (0.30) + Historial </w:t>
            </w:r>
            <w:r>
              <w:rPr>
                <w:b/>
                <w:bCs/>
                <w:sz w:val="20"/>
                <w:szCs w:val="20"/>
              </w:rPr>
              <w:t xml:space="preserve">4</w:t>
            </w:r>
            <w:r>
              <w:rPr>
                <w:sz w:val="20"/>
                <w:szCs w:val="20"/>
              </w:rPr>
              <w:t xml:space="preserve"> (0.80) + Estabilidad </w:t>
            </w:r>
            <w:r>
              <w:rPr>
                <w:b/>
                <w:bCs/>
                <w:sz w:val="20"/>
                <w:szCs w:val="20"/>
              </w:rPr>
              <w:t xml:space="preserve">2</w:t>
            </w:r>
            <w:r>
              <w:rPr>
                <w:sz w:val="20"/>
                <w:szCs w:val="20"/>
              </w:rPr>
              <w:t xml:space="preserve"> (0.30) + Endeudamiento </w:t>
            </w:r>
            <w:r>
              <w:rPr>
                <w:b/>
                <w:bCs/>
                <w:sz w:val="20"/>
                <w:szCs w:val="20"/>
              </w:rPr>
              <w:t xml:space="preserve">1</w:t>
            </w:r>
            <w:r>
              <w:rPr>
                <w:sz w:val="20"/>
                <w:szCs w:val="20"/>
              </w:rPr>
              <w:t xml:space="preserve"> (0.15) + Garantías </w:t>
            </w:r>
            <w:r>
              <w:rPr>
                <w:b/>
                <w:bCs/>
                <w:sz w:val="20"/>
                <w:szCs w:val="20"/>
              </w:rPr>
              <w:t xml:space="preserve">5</w:t>
            </w:r>
            <w:r>
              <w:rPr>
                <w:sz w:val="20"/>
                <w:szCs w:val="20"/>
              </w:rPr>
              <w:t xml:space="preserve"> (0.50) + Documentación </w:t>
            </w:r>
            <w:r>
              <w:rPr>
                <w:b/>
                <w:bCs/>
                <w:sz w:val="20"/>
                <w:szCs w:val="20"/>
              </w:rPr>
              <w:t xml:space="preserve">4</w:t>
            </w:r>
            <w:r>
              <w:rPr>
                <w:sz w:val="20"/>
                <w:szCs w:val="20"/>
              </w:rPr>
              <w:t xml:space="preserve"> (0.40) = </w:t>
            </w:r>
            <w:r>
              <w:rPr>
                <w:b/>
                <w:bCs/>
                <w:sz w:val="20"/>
                <w:szCs w:val="20"/>
              </w:rPr>
              <w:t xml:space="preserve">2.45</w:t>
            </w:r>
            <w:r>
              <w:rPr>
                <w:sz w:val="20"/>
                <w:szCs w:val="20"/>
              </w:rPr>
              <w:t xml:space="preserve"> → 49 sobre 100 → </w:t>
            </w:r>
            <w:r>
              <w:rPr>
                <w:b/>
                <w:bCs/>
                <w:sz w:val="20"/>
                <w:szCs w:val="20"/>
              </w:rPr>
              <w:t xml:space="preserve">Desfavorable</w:t>
            </w:r>
            <w:r>
              <w:rPr>
                <w:sz w:val="20"/>
                <w:szCs w:val="20"/>
              </w:rPr>
              <w:t xml:space="preserve">.</w:t>
            </w:r>
          </w:p>
          <w:p>
            <w:pPr>
              <w:spacing w:after="50"/>
              <w:jc w:val="left"/>
            </w:pPr>
            <w:r>
              <w:rPr>
                <w:sz w:val="20"/>
                <w:szCs w:val="20"/>
              </w:rPr>
              <w:t xml:space="preserve">Además, la capacidad residual negativa activa una </w:t>
            </w:r>
            <w:r>
              <w:rPr>
                <w:b/>
                <w:bCs/>
                <w:sz w:val="20"/>
                <w:szCs w:val="20"/>
              </w:rPr>
              <w:t xml:space="preserve">regla de riesgo crítico</w:t>
            </w:r>
            <w:r>
              <w:rPr>
                <w:sz w:val="20"/>
                <w:szCs w:val="20"/>
              </w:rPr>
              <w:t xml:space="preserve"> (10.5), que por sí sola impide un resultado favorable.</w:t>
            </w:r>
          </w:p>
        </w:tc>
      </w:tr>
    </w:tbl>
    <w:p>
      <w:pPr>
        <w:spacing w:after="120"/>
      </w:pPr>
    </w:p>
    <w:p>
      <w:pPr>
        <w:pStyle w:val="Heading2"/>
        <w:keepNext/>
      </w:pPr>
      <w:r>
        <w:t xml:space="preserve">10.5 Riesgos críticos que no deben quedar ocultos</w:t>
      </w:r>
    </w:p>
    <w:p>
      <w:pPr>
        <w:keepNext w:val="false"/>
        <w:spacing w:after="120" w:before="0"/>
        <w:jc w:val="both"/>
      </w:pPr>
      <w:r>
        <w:t xml:space="preserve">Una puntuación global favorable puede ocultar un problema grave en un solo factor. Por eso se recomienda definir </w:t>
      </w:r>
      <w:r>
        <w:rPr>
          <w:b/>
          <w:bCs/>
        </w:rPr>
        <w:t xml:space="preserve">reglas de exclusión o de escalamiento obligatorio</w:t>
      </w:r>
      <w:r>
        <w:t xml:space="preserve"> que se aplican </w:t>
      </w:r>
      <w:r>
        <w:rPr>
          <w:b/>
          <w:bCs/>
        </w:rPr>
        <w:t xml:space="preserve">antes</w:t>
      </w:r>
      <w:r>
        <w:t xml:space="preserve"> de mirar la puntuación:</w:t>
      </w:r>
    </w:p>
    <w:p>
      <w:pPr>
        <w:pStyle w:val="ListParagraph"/>
        <w:numPr>
          <w:ilvl w:val="0"/>
          <w:numId w:val="17"/>
        </w:numPr>
        <w:spacing w:after="60"/>
        <w:jc w:val="left"/>
      </w:pPr>
      <w:r>
        <w:t xml:space="preserve">Capacidad residual negativa en el escenario base.</w:t>
      </w:r>
    </w:p>
    <w:p>
      <w:pPr>
        <w:pStyle w:val="ListParagraph"/>
        <w:numPr>
          <w:ilvl w:val="0"/>
          <w:numId w:val="17"/>
        </w:numPr>
        <w:spacing w:after="60"/>
        <w:jc w:val="left"/>
      </w:pPr>
      <w:r>
        <w:t xml:space="preserve">Indicios de documentación falsa, suplantación o fraude.</w:t>
      </w:r>
    </w:p>
    <w:p>
      <w:pPr>
        <w:pStyle w:val="ListParagraph"/>
        <w:numPr>
          <w:ilvl w:val="0"/>
          <w:numId w:val="17"/>
        </w:numPr>
        <w:spacing w:after="60"/>
        <w:jc w:val="left"/>
      </w:pPr>
      <w:r>
        <w:t xml:space="preserve">Mora vigente relevante o créditos castigados no resueltos, según política.</w:t>
      </w:r>
    </w:p>
    <w:p>
      <w:pPr>
        <w:pStyle w:val="ListParagraph"/>
        <w:numPr>
          <w:ilvl w:val="0"/>
          <w:numId w:val="17"/>
        </w:numPr>
        <w:spacing w:after="60"/>
        <w:jc w:val="left"/>
      </w:pPr>
      <w:r>
        <w:t xml:space="preserve">Alertas de cumplimiento no resueltas (debida diligencia incompleta).</w:t>
      </w:r>
    </w:p>
    <w:p>
      <w:pPr>
        <w:pStyle w:val="ListParagraph"/>
        <w:numPr>
          <w:ilvl w:val="0"/>
          <w:numId w:val="17"/>
        </w:numPr>
        <w:spacing w:after="60"/>
        <w:jc w:val="left"/>
      </w:pPr>
      <w:r>
        <w:t xml:space="preserve">Garantía con defectos legales que impidan su constitución.</w:t>
      </w:r>
    </w:p>
    <w:p>
      <w:pPr>
        <w:pStyle w:val="ListParagraph"/>
        <w:numPr>
          <w:ilvl w:val="0"/>
          <w:numId w:val="17"/>
        </w:numPr>
        <w:spacing w:after="60"/>
        <w:jc w:val="left"/>
      </w:pPr>
      <w:r>
        <w:t xml:space="preserve">Destino del crédito ilícito, incompatible con la política o no verificable cuando la política exige verificarlo.</w:t>
      </w:r>
    </w:p>
    <w:p>
      <w:pPr>
        <w:pStyle w:val="ListParagraph"/>
        <w:numPr>
          <w:ilvl w:val="0"/>
          <w:numId w:val="17"/>
        </w:numPr>
        <w:spacing w:after="60"/>
        <w:jc w:val="left"/>
      </w:pPr>
      <w:r>
        <w:t xml:space="preserve">Tasa o condiciones que superarían límites legales (por ejemplo, la tasa máxima legal vigente).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2E75B6" w:sz="4"/>
              <w:left w:val="single" w:color="2E75B6" w:sz="24"/>
              <w:bottom w:val="single" w:color="2E75B6" w:sz="4"/>
              <w:right w:val="single" w:color="2E75B6" w:sz="4"/>
            </w:tcBorders>
            <w:shd w:fill="F2F7FC" w:color="auto" w:val="clear"/>
            <w:tcMar>
              <w:top w:type="dxa" w:w="100"/>
              <w:left w:type="dxa" w:w="180"/>
              <w:bottom w:type="dxa" w:w="100"/>
              <w:right w:type="dxa" w:w="180"/>
            </w:tcMar>
          </w:tcPr>
          <w:p>
            <w:pPr>
              <w:spacing w:after="60"/>
            </w:pPr>
            <w:r>
              <w:rPr>
                <w:b/>
                <w:bCs/>
                <w:color w:val="2E75B6"/>
                <w:sz w:val="20"/>
                <w:szCs w:val="20"/>
              </w:rPr>
              <w:t xml:space="preserve">Ejemplo (datos ficticios) — puntuación alta con riesgo crítico</w:t>
            </w:r>
          </w:p>
          <w:p>
            <w:pPr>
              <w:spacing w:after="50"/>
              <w:jc w:val="left"/>
            </w:pPr>
            <w:r>
              <w:rPr>
                <w:sz w:val="20"/>
                <w:szCs w:val="20"/>
              </w:rPr>
              <w:t xml:space="preserve">Solicitante con historial excelente (5), garantía líquida (5), documentación completa (5), estabilidad alta (5), endeudamiento 35 % (3) y capacidad residual de −US$20 (1).</w:t>
            </w:r>
          </w:p>
          <w:p>
            <w:pPr>
              <w:spacing w:after="50"/>
              <w:jc w:val="left"/>
            </w:pPr>
            <w:r>
              <w:rPr>
                <w:sz w:val="20"/>
                <w:szCs w:val="20"/>
              </w:rPr>
              <w:t xml:space="preserve">Puntuación: 0.30 + 1.00 + 0.75 + 0.45 + 0.50 + 0.50 = 3.50 → </w:t>
            </w:r>
            <w:r>
              <w:rPr>
                <w:b/>
                <w:bCs/>
                <w:sz w:val="20"/>
                <w:szCs w:val="20"/>
              </w:rPr>
              <w:t xml:space="preserve">70</w:t>
            </w:r>
            <w:r>
              <w:rPr>
                <w:sz w:val="20"/>
                <w:szCs w:val="20"/>
              </w:rPr>
              <w:t xml:space="preserve"> («favorable con condiciones» por puntuación).</w:t>
            </w:r>
          </w:p>
          <w:p>
            <w:pPr>
              <w:spacing w:after="50"/>
              <w:jc w:val="left"/>
            </w:pPr>
            <w:r>
              <w:rPr>
                <w:b/>
                <w:bCs/>
                <w:sz w:val="20"/>
                <w:szCs w:val="20"/>
              </w:rPr>
              <w:t xml:space="preserve">Pero</w:t>
            </w:r>
            <w:r>
              <w:rPr>
                <w:sz w:val="20"/>
                <w:szCs w:val="20"/>
              </w:rPr>
              <w:t xml:space="preserve"> la capacidad residual negativa es un riesgo crítico: el resultado correcto es </w:t>
            </w:r>
            <w:r>
              <w:rPr>
                <w:b/>
                <w:bCs/>
                <w:sz w:val="20"/>
                <w:szCs w:val="20"/>
              </w:rPr>
              <w:t xml:space="preserve">análisis especializado requerido</w:t>
            </w:r>
            <w:r>
              <w:rPr>
                <w:sz w:val="20"/>
                <w:szCs w:val="20"/>
              </w:rPr>
              <w:t xml:space="preserve"> o reestructurar la propuesta (menor monto o mayor plazo) hasta que la capacidad sea positiva.</w:t>
            </w:r>
          </w:p>
        </w:tc>
      </w:tr>
    </w:tbl>
    <w:p>
      <w:pPr>
        <w:spacing w:after="120"/>
      </w:pPr>
    </w:p>
    <w:p>
      <w:pPr>
        <w:pStyle w:val="Heading2"/>
        <w:keepNext/>
      </w:pPr>
      <w:r>
        <w:t xml:space="preserve">10.6 Limitaciones del modelo y validación</w:t>
      </w:r>
    </w:p>
    <w:p>
      <w:pPr>
        <w:pStyle w:val="ListParagraph"/>
        <w:numPr>
          <w:ilvl w:val="0"/>
          <w:numId w:val="18"/>
        </w:numPr>
        <w:spacing w:after="60"/>
        <w:jc w:val="left"/>
      </w:pPr>
      <w:r>
        <w:rPr>
          <w:b/>
          <w:bCs/>
        </w:rPr>
        <w:t xml:space="preserve">Las ponderaciones y umbrales son supuestos razonados</w:t>
      </w:r>
      <w:r>
        <w:t xml:space="preserve">, no resultados estadísticos. Deben validarse con datos históricos.</w:t>
      </w:r>
    </w:p>
    <w:p>
      <w:pPr>
        <w:pStyle w:val="ListParagraph"/>
        <w:numPr>
          <w:ilvl w:val="0"/>
          <w:numId w:val="18"/>
        </w:numPr>
        <w:spacing w:after="60"/>
        <w:jc w:val="left"/>
      </w:pPr>
      <w:r>
        <w:rPr>
          <w:b/>
          <w:bCs/>
        </w:rPr>
        <w:t xml:space="preserve">Validación retrospectiva (backtesting):</w:t>
      </w:r>
      <w:r>
        <w:t xml:space="preserve"> comparar periódicamente la puntuación asignada al originar con el comportamiento real (por ejemplo, porcentaje de créditos con mora superior a cierto número de días a los 12 meses por rango de puntuación). Si los rangos «favorables» no muestran menor mora, el modelo no discrimina.</w:t>
      </w:r>
    </w:p>
    <w:p>
      <w:pPr>
        <w:pStyle w:val="ListParagraph"/>
        <w:numPr>
          <w:ilvl w:val="0"/>
          <w:numId w:val="18"/>
        </w:numPr>
        <w:spacing w:after="60"/>
        <w:jc w:val="left"/>
      </w:pPr>
      <w:r>
        <w:rPr>
          <w:b/>
          <w:bCs/>
        </w:rPr>
        <w:t xml:space="preserve">Estabilidad:</w:t>
      </w:r>
      <w:r>
        <w:t xml:space="preserve"> revisar si la distribución de puntuaciones cambia mucho en el tiempo.</w:t>
      </w:r>
    </w:p>
    <w:p>
      <w:pPr>
        <w:pStyle w:val="ListParagraph"/>
        <w:numPr>
          <w:ilvl w:val="0"/>
          <w:numId w:val="18"/>
        </w:numPr>
        <w:spacing w:after="60"/>
        <w:jc w:val="left"/>
      </w:pPr>
      <w:r>
        <w:rPr>
          <w:b/>
          <w:bCs/>
        </w:rPr>
        <w:t xml:space="preserve">Excepciones:</w:t>
      </w:r>
      <w:r>
        <w:t xml:space="preserve"> registrar y analizar las operaciones aprobadas contra la recomendación del modelo.</w:t>
      </w:r>
    </w:p>
    <w:p>
      <w:pPr>
        <w:pStyle w:val="ListParagraph"/>
        <w:numPr>
          <w:ilvl w:val="0"/>
          <w:numId w:val="18"/>
        </w:numPr>
        <w:spacing w:after="60"/>
        <w:jc w:val="left"/>
      </w:pPr>
      <w:r>
        <w:rPr>
          <w:b/>
          <w:bCs/>
        </w:rPr>
        <w:t xml:space="preserve">Aprobación institucional:</w:t>
      </w:r>
      <w:r>
        <w:t xml:space="preserve"> los factores, ponderaciones, escalas y umbrales deben ser aprobados por la instancia competente antes de su implementación y revisados periódicamente.</w:t>
      </w:r>
    </w:p>
    <w:p>
      <w:pPr>
        <w:pStyle w:val="Heading1"/>
        <w:pageBreakBefore/>
      </w:pPr>
      <w:r>
        <w:t xml:space="preserve">Capítulo 11. Elaboración del informe crediticio</w:t>
      </w:r>
    </w:p>
    <w:p>
      <w:pPr>
        <w:keepNext w:val="false"/>
        <w:spacing w:after="120" w:before="0"/>
        <w:jc w:val="both"/>
      </w:pPr>
      <w:r>
        <w:rPr>
          <w:i/>
          <w:iCs/>
        </w:rPr>
        <w:t xml:space="preserve">Desarrolla, junto con los Capítulos 12 y 13, el apartado original 9: «Documentación del proceso de evaluación crediticia».</w:t>
      </w:r>
    </w:p>
    <w:p>
      <w:pPr>
        <w:pStyle w:val="Heading2"/>
        <w:keepNext/>
      </w:pPr>
      <w:r>
        <w:t xml:space="preserve">11.1 Finalidad del informe</w:t>
      </w:r>
    </w:p>
    <w:p>
      <w:pPr>
        <w:keepNext w:val="false"/>
        <w:spacing w:after="120" w:before="0"/>
        <w:jc w:val="both"/>
      </w:pPr>
      <w:r>
        <w:t xml:space="preserve">El informe crediticio es el documento que </w:t>
      </w:r>
      <w:r>
        <w:rPr>
          <w:b/>
          <w:bCs/>
        </w:rPr>
        <w:t xml:space="preserve">traslada el análisis a la instancia que decide</w:t>
      </w:r>
      <w:r>
        <w:t xml:space="preserve">. Debe permitir que una persona que no participó en la evaluación entienda qué se solicita, qué se verificó, qué riesgos existen, qué condiciones se proponen y por qué se recomienda o no la operación. Un buen informe es </w:t>
      </w:r>
      <w:r>
        <w:rPr>
          <w:b/>
          <w:bCs/>
        </w:rPr>
        <w:t xml:space="preserve">completo, verificable, conciso y honesto sobre sus limitaciones</w:t>
      </w:r>
      <w:r>
        <w:t xml:space="preserve">.</w:t>
      </w:r>
    </w:p>
    <w:p>
      <w:pPr>
        <w:pStyle w:val="Heading2"/>
        <w:keepNext/>
      </w:pPr>
      <w:r>
        <w:t xml:space="preserve">11.2 Estructura recomendada</w:t>
      </w:r>
    </w:p>
    <w:p>
      <w:pPr>
        <w:keepNext/>
        <w:spacing w:after="60" w:before="120"/>
      </w:pPr>
      <w:r>
        <w:rPr>
          <w:b/>
          <w:bCs/>
          <w:color w:val="1F3864"/>
          <w:sz w:val="19"/>
          <w:szCs w:val="19"/>
        </w:rPr>
        <w:t xml:space="preserve">Tabla 11.1. Estructura del informe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6365"/>
      </w:tblGrid>
      <w:tr>
        <w:trPr>
          <w:cantSplit/>
          <w:tblHeader/>
        </w:trPr>
        <w:tc>
          <w:tcPr>
            <w:tcW w:type="dxa" w:w="2995"/>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Sección</w:t>
            </w:r>
          </w:p>
        </w:tc>
        <w:tc>
          <w:tcPr>
            <w:tcW w:type="dxa" w:w="6365"/>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Contenido mínimo</w:t>
            </w:r>
          </w:p>
        </w:tc>
      </w:tr>
      <w:tr>
        <w:trPr>
          <w:cantSplit/>
        </w:trPr>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1. Datos de identificación</w:t>
            </w:r>
          </w:p>
        </w:tc>
        <w:tc>
          <w:tcPr>
            <w:tcW w:type="dxa" w:w="636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Solicitante, código de cliente, tipo de solicitante, agencia, analista, fecha.</w:t>
            </w:r>
          </w:p>
        </w:tc>
      </w:tr>
      <w:tr>
        <w:trPr>
          <w:cantSplit/>
        </w:trPr>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2. Producto y condiciones solicitadas</w:t>
            </w:r>
          </w:p>
        </w:tc>
        <w:tc>
          <w:tcPr>
            <w:tcW w:type="dxa" w:w="636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Producto, monto, destino, plazo, tasa, cuota estimada, forma de pago.</w:t>
            </w:r>
          </w:p>
        </w:tc>
      </w:tr>
      <w:tr>
        <w:trPr>
          <w:cantSplit/>
        </w:trPr>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3. Información recibida y verificada</w:t>
            </w:r>
          </w:p>
        </w:tc>
        <w:tc>
          <w:tcPr>
            <w:tcW w:type="dxa" w:w="636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Documentos, fuente, fecha, método de verificación.</w:t>
            </w:r>
          </w:p>
        </w:tc>
      </w:tr>
      <w:tr>
        <w:trPr>
          <w:cantSplit/>
        </w:trPr>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4. Ingresos y gastos</w:t>
            </w:r>
          </w:p>
        </w:tc>
        <w:tc>
          <w:tcPr>
            <w:tcW w:type="dxa" w:w="636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Ingreso bruto y neto verificado; gastos esenciales; criterio aplicado.</w:t>
            </w:r>
          </w:p>
        </w:tc>
      </w:tr>
      <w:tr>
        <w:trPr>
          <w:cantSplit/>
        </w:trPr>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5. Endeudamiento</w:t>
            </w:r>
          </w:p>
        </w:tc>
        <w:tc>
          <w:tcPr>
            <w:tcW w:type="dxa" w:w="636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Deudas vigentes según historial y declaración; cuotas consideradas.</w:t>
            </w:r>
          </w:p>
        </w:tc>
      </w:tr>
      <w:tr>
        <w:trPr>
          <w:cantSplit/>
        </w:trPr>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6. Capacidad de pago</w:t>
            </w:r>
          </w:p>
        </w:tc>
        <w:tc>
          <w:tcPr>
            <w:tcW w:type="dxa" w:w="636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Ingreso disponible, relación deuda-ingreso, capacidad residual, cobertura, escenario adverso.</w:t>
            </w:r>
          </w:p>
        </w:tc>
      </w:tr>
      <w:tr>
        <w:trPr>
          <w:cantSplit/>
        </w:trPr>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7. Historial crediticio</w:t>
            </w:r>
          </w:p>
        </w:tc>
        <w:tc>
          <w:tcPr>
            <w:tcW w:type="dxa" w:w="636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Resumen del comportamiento de pago y alertas.</w:t>
            </w:r>
          </w:p>
        </w:tc>
      </w:tr>
      <w:tr>
        <w:trPr>
          <w:cantSplit/>
        </w:trPr>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8. Garantías</w:t>
            </w:r>
          </w:p>
        </w:tc>
        <w:tc>
          <w:tcPr>
            <w:tcW w:type="dxa" w:w="636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Tipo, valor, cobertura, situación legal (si aplica).</w:t>
            </w:r>
          </w:p>
        </w:tc>
      </w:tr>
      <w:tr>
        <w:trPr>
          <w:cantSplit/>
        </w:trPr>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9. Riesgos</w:t>
            </w:r>
          </w:p>
        </w:tc>
        <w:tc>
          <w:tcPr>
            <w:tcW w:type="dxa" w:w="636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Matriz resumida con riesgos relevantes y riesgo residual.</w:t>
            </w:r>
          </w:p>
        </w:tc>
      </w:tr>
      <w:tr>
        <w:trPr>
          <w:cantSplit/>
        </w:trPr>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10. Controles y condiciones</w:t>
            </w:r>
          </w:p>
        </w:tc>
        <w:tc>
          <w:tcPr>
            <w:tcW w:type="dxa" w:w="636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Condiciones previas, condiciones de seguimiento.</w:t>
            </w:r>
          </w:p>
        </w:tc>
      </w:tr>
      <w:tr>
        <w:trPr>
          <w:cantSplit/>
        </w:trPr>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11. Limitaciones del análisis</w:t>
            </w:r>
          </w:p>
        </w:tc>
        <w:tc>
          <w:tcPr>
            <w:tcW w:type="dxa" w:w="636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Información no verificada, supuestos, incertidumbres.</w:t>
            </w:r>
          </w:p>
        </w:tc>
      </w:tr>
      <w:tr>
        <w:trPr>
          <w:cantSplit/>
        </w:trPr>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12. Conclusión</w:t>
            </w:r>
          </w:p>
        </w:tc>
        <w:tc>
          <w:tcPr>
            <w:tcW w:type="dxa" w:w="636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Síntesis del perfil de riesgo.</w:t>
            </w:r>
          </w:p>
        </w:tc>
      </w:tr>
      <w:tr>
        <w:trPr>
          <w:cantSplit/>
        </w:trPr>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13. Recomendación</w:t>
            </w:r>
          </w:p>
        </w:tc>
        <w:tc>
          <w:tcPr>
            <w:tcW w:type="dxa" w:w="636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Favorable / favorable con condiciones / información adicional / análisis especializado / desfavorable, con justificación.</w:t>
            </w:r>
          </w:p>
        </w:tc>
      </w:tr>
      <w:tr>
        <w:trPr>
          <w:cantSplit/>
        </w:trPr>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14. Responsable y fecha</w:t>
            </w:r>
          </w:p>
        </w:tc>
        <w:tc>
          <w:tcPr>
            <w:tcW w:type="dxa" w:w="636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Nombre, cargo y firma del analista; revisor si aplica.</w:t>
            </w:r>
          </w:p>
        </w:tc>
      </w:tr>
      <w:tr>
        <w:trPr>
          <w:cantSplit/>
        </w:trPr>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15. Referencias documentales</w:t>
            </w:r>
          </w:p>
        </w:tc>
        <w:tc>
          <w:tcPr>
            <w:tcW w:type="dxa" w:w="636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Lista de documentos del expediente que sustentan el informe.</w:t>
            </w:r>
          </w:p>
        </w:tc>
      </w:tr>
    </w:tbl>
    <w:p>
      <w:pPr>
        <w:spacing w:after="120"/>
      </w:pPr>
    </w:p>
    <w:p>
      <w:pPr>
        <w:pStyle w:val="Heading2"/>
        <w:keepNext/>
      </w:pPr>
      <w:r>
        <w:t xml:space="preserve">11.3 Reglas de redacción</w:t>
      </w:r>
    </w:p>
    <w:p>
      <w:pPr>
        <w:pStyle w:val="ListParagraph"/>
        <w:numPr>
          <w:ilvl w:val="0"/>
          <w:numId w:val="19"/>
        </w:numPr>
        <w:spacing w:after="60"/>
        <w:jc w:val="left"/>
      </w:pPr>
      <w:r>
        <w:t xml:space="preserve">Escribir </w:t>
      </w:r>
      <w:r>
        <w:rPr>
          <w:b/>
          <w:bCs/>
        </w:rPr>
        <w:t xml:space="preserve">hechos verificados</w:t>
      </w:r>
      <w:r>
        <w:t xml:space="preserve"> separados de </w:t>
      </w:r>
      <w:r>
        <w:rPr>
          <w:b/>
          <w:bCs/>
        </w:rPr>
        <w:t xml:space="preserve">opiniones</w:t>
      </w:r>
      <w:r>
        <w:t xml:space="preserve"> y </w:t>
      </w:r>
      <w:r>
        <w:rPr>
          <w:b/>
          <w:bCs/>
        </w:rPr>
        <w:t xml:space="preserve">supuestos</w:t>
      </w:r>
      <w:r>
        <w:t xml:space="preserve">.</w:t>
      </w:r>
    </w:p>
    <w:p>
      <w:pPr>
        <w:pStyle w:val="ListParagraph"/>
        <w:numPr>
          <w:ilvl w:val="0"/>
          <w:numId w:val="19"/>
        </w:numPr>
        <w:spacing w:after="60"/>
        <w:jc w:val="left"/>
      </w:pPr>
      <w:r>
        <w:t xml:space="preserve">Indicar siempre </w:t>
      </w:r>
      <w:r>
        <w:rPr>
          <w:b/>
          <w:bCs/>
        </w:rPr>
        <w:t xml:space="preserve">fuente y fecha</w:t>
      </w:r>
      <w:r>
        <w:t xml:space="preserve"> de cada cifra relevante.</w:t>
      </w:r>
    </w:p>
    <w:p>
      <w:pPr>
        <w:pStyle w:val="ListParagraph"/>
        <w:numPr>
          <w:ilvl w:val="0"/>
          <w:numId w:val="19"/>
        </w:numPr>
        <w:spacing w:after="60"/>
        <w:jc w:val="left"/>
      </w:pPr>
      <w:r>
        <w:t xml:space="preserve">Presentar los cálculos de modo que puedan </w:t>
      </w:r>
      <w:r>
        <w:rPr>
          <w:b/>
          <w:bCs/>
        </w:rPr>
        <w:t xml:space="preserve">reproducirse</w:t>
      </w:r>
      <w:r>
        <w:t xml:space="preserve">.</w:t>
      </w:r>
    </w:p>
    <w:p>
      <w:pPr>
        <w:pStyle w:val="ListParagraph"/>
        <w:numPr>
          <w:ilvl w:val="0"/>
          <w:numId w:val="19"/>
        </w:numPr>
        <w:spacing w:after="60"/>
        <w:jc w:val="left"/>
      </w:pPr>
      <w:r>
        <w:t xml:space="preserve">No omitir información desfavorable: el comité debe conocerla para decidir.</w:t>
      </w:r>
    </w:p>
    <w:p>
      <w:pPr>
        <w:pStyle w:val="ListParagraph"/>
        <w:numPr>
          <w:ilvl w:val="0"/>
          <w:numId w:val="19"/>
        </w:numPr>
        <w:spacing w:after="60"/>
        <w:jc w:val="left"/>
      </w:pPr>
      <w:r>
        <w:t xml:space="preserve">Explicar la recomendación en función de la evidencia y no de metas comerciales.</w:t>
      </w:r>
    </w:p>
    <w:p>
      <w:pPr>
        <w:pStyle w:val="ListParagraph"/>
        <w:numPr>
          <w:ilvl w:val="0"/>
          <w:numId w:val="19"/>
        </w:numPr>
        <w:spacing w:after="60"/>
        <w:jc w:val="left"/>
      </w:pPr>
      <w:r>
        <w:t xml:space="preserve">Usar lenguaje claro; evitar siglas sin explicar.</w:t>
      </w:r>
    </w:p>
    <w:p>
      <w:pPr>
        <w:pStyle w:val="Heading2"/>
        <w:keepNext/>
      </w:pPr>
      <w:r>
        <w:t xml:space="preserve">11.4 Informe completo de ejemplo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77C02" w:sz="4"/>
              <w:left w:val="single" w:color="C77C02" w:sz="24"/>
              <w:bottom w:val="single" w:color="C77C02" w:sz="4"/>
              <w:right w:val="single" w:color="C77C02" w:sz="4"/>
            </w:tcBorders>
            <w:shd w:fill="FFF4E0" w:color="auto" w:val="clear"/>
            <w:tcMar>
              <w:top w:type="dxa" w:w="100"/>
              <w:left w:type="dxa" w:w="180"/>
              <w:bottom w:type="dxa" w:w="100"/>
              <w:right w:type="dxa" w:w="180"/>
            </w:tcMar>
          </w:tcPr>
          <w:p>
            <w:pPr>
              <w:spacing w:after="60"/>
            </w:pPr>
            <w:r>
              <w:rPr>
                <w:b/>
                <w:bCs/>
                <w:color w:val="C77C02"/>
                <w:sz w:val="20"/>
                <w:szCs w:val="20"/>
              </w:rPr>
              <w:t xml:space="preserve">Ejemplo ficticio</w:t>
            </w:r>
          </w:p>
          <w:p>
            <w:pPr>
              <w:spacing w:after="50"/>
              <w:jc w:val="left"/>
            </w:pPr>
            <w:r>
              <w:rPr>
                <w:sz w:val="20"/>
                <w:szCs w:val="20"/>
              </w:rPr>
              <w:t xml:space="preserve">Informe con </w:t>
            </w:r>
            <w:r>
              <w:rPr>
                <w:b/>
                <w:bCs/>
                <w:sz w:val="20"/>
                <w:szCs w:val="20"/>
              </w:rPr>
              <w:t xml:space="preserve">datos ficticios</w:t>
            </w:r>
            <w:r>
              <w:rPr>
                <w:sz w:val="20"/>
                <w:szCs w:val="20"/>
              </w:rPr>
              <w:t xml:space="preserve">. Corresponde al Caso 1 del Capítulo 16, para que el lector pueda contrastar cálculos.</w:t>
            </w:r>
          </w:p>
        </w:tc>
      </w:tr>
    </w:tbl>
    <w:p>
      <w:pPr>
        <w:spacing w:after="120"/>
      </w:pPr>
    </w:p>
    <w:p>
      <w:pPr>
        <w:keepNext/>
        <w:spacing w:after="60" w:before="120"/>
      </w:pPr>
      <w:r>
        <w:rPr>
          <w:b/>
          <w:bCs/>
          <w:color w:val="1F3864"/>
          <w:sz w:val="19"/>
          <w:szCs w:val="19"/>
        </w:rPr>
        <w:t xml:space="preserve">1. Datos de identificación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6"/>
        <w:gridCol w:w="6084"/>
      </w:tblGrid>
      <w:tr>
        <w:trPr>
          <w:cantSplit/>
        </w:trPr>
        <w:tc>
          <w:tcPr>
            <w:tcW w:type="dxa" w:w="327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8"/>
                <w:szCs w:val="18"/>
              </w:rPr>
              <w:t xml:space="preserve">Institución</w:t>
            </w:r>
          </w:p>
        </w:tc>
        <w:tc>
          <w:tcPr>
            <w:tcW w:type="dxa" w:w="60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8"/>
                <w:szCs w:val="18"/>
              </w:rPr>
              <w:t xml:space="preserve">Entidad Financiera Ejemplo, S.A. (ficticia)</w:t>
            </w:r>
          </w:p>
        </w:tc>
      </w:tr>
      <w:tr>
        <w:trPr>
          <w:cantSplit/>
        </w:trPr>
        <w:tc>
          <w:tcPr>
            <w:tcW w:type="dxa" w:w="327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8"/>
                <w:szCs w:val="18"/>
              </w:rPr>
              <w:t xml:space="preserve">Solicitante</w:t>
            </w:r>
          </w:p>
        </w:tc>
        <w:tc>
          <w:tcPr>
            <w:tcW w:type="dxa" w:w="60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8"/>
                <w:szCs w:val="18"/>
              </w:rPr>
              <w:t xml:space="preserve">Ana Lucía Martínez Rivas (ficticia) — persona natural asalariada</w:t>
            </w:r>
          </w:p>
        </w:tc>
      </w:tr>
      <w:tr>
        <w:trPr>
          <w:cantSplit/>
        </w:trPr>
        <w:tc>
          <w:tcPr>
            <w:tcW w:type="dxa" w:w="327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8"/>
                <w:szCs w:val="18"/>
              </w:rPr>
              <w:t xml:space="preserve">Código de cliente / expediente</w:t>
            </w:r>
          </w:p>
        </w:tc>
        <w:tc>
          <w:tcPr>
            <w:tcW w:type="dxa" w:w="60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8"/>
                <w:szCs w:val="18"/>
              </w:rPr>
              <w:t xml:space="preserve">CL-000123 / EXP-2026-0456</w:t>
            </w:r>
          </w:p>
        </w:tc>
      </w:tr>
      <w:tr>
        <w:trPr>
          <w:cantSplit/>
        </w:trPr>
        <w:tc>
          <w:tcPr>
            <w:tcW w:type="dxa" w:w="327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8"/>
                <w:szCs w:val="18"/>
              </w:rPr>
              <w:t xml:space="preserve">Agencia / analista</w:t>
            </w:r>
          </w:p>
        </w:tc>
        <w:tc>
          <w:tcPr>
            <w:tcW w:type="dxa" w:w="60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8"/>
                <w:szCs w:val="18"/>
              </w:rPr>
              <w:t xml:space="preserve">Agencia Centro / Lic. Analista Ejemplo</w:t>
            </w:r>
          </w:p>
        </w:tc>
      </w:tr>
      <w:tr>
        <w:trPr>
          <w:cantSplit/>
        </w:trPr>
        <w:tc>
          <w:tcPr>
            <w:tcW w:type="dxa" w:w="327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b/>
                <w:bCs/>
                <w:sz w:val="18"/>
                <w:szCs w:val="18"/>
              </w:rPr>
              <w:t xml:space="preserve">Fecha de análisis / fecha de corte de información</w:t>
            </w:r>
          </w:p>
        </w:tc>
        <w:tc>
          <w:tcPr>
            <w:tcW w:type="dxa" w:w="60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b w:val="false"/>
                <w:bCs w:val="false"/>
                <w:sz w:val="18"/>
                <w:szCs w:val="18"/>
              </w:rPr>
              <w:t xml:space="preserve">27/10/2026 / 30/09/2026</w:t>
            </w:r>
          </w:p>
        </w:tc>
      </w:tr>
    </w:tbl>
    <w:p>
      <w:pPr>
        <w:spacing w:after="120"/>
      </w:pPr>
    </w:p>
    <w:p>
      <w:pPr>
        <w:keepNext/>
        <w:spacing w:after="60" w:before="120"/>
      </w:pPr>
      <w:r>
        <w:rPr>
          <w:b/>
          <w:bCs/>
          <w:color w:val="1F3864"/>
          <w:sz w:val="19"/>
          <w:szCs w:val="19"/>
        </w:rPr>
        <w:t xml:space="preserve">2. Producto y condiciones solicitadas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6"/>
        <w:gridCol w:w="6084"/>
      </w:tblGrid>
      <w:tr>
        <w:trPr>
          <w:cantSplit/>
        </w:trPr>
        <w:tc>
          <w:tcPr>
            <w:tcW w:type="dxa" w:w="327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8"/>
                <w:szCs w:val="18"/>
              </w:rPr>
              <w:t xml:space="preserve">Producto</w:t>
            </w:r>
          </w:p>
        </w:tc>
        <w:tc>
          <w:tcPr>
            <w:tcW w:type="dxa" w:w="60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8"/>
                <w:szCs w:val="18"/>
              </w:rPr>
              <w:t xml:space="preserve">Préstamo personal de consumo, cuota fija</w:t>
            </w:r>
          </w:p>
        </w:tc>
      </w:tr>
      <w:tr>
        <w:trPr>
          <w:cantSplit/>
        </w:trPr>
        <w:tc>
          <w:tcPr>
            <w:tcW w:type="dxa" w:w="327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8"/>
                <w:szCs w:val="18"/>
              </w:rPr>
              <w:t xml:space="preserve">Monto solicitado</w:t>
            </w:r>
          </w:p>
        </w:tc>
        <w:tc>
          <w:tcPr>
            <w:tcW w:type="dxa" w:w="60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8"/>
                <w:szCs w:val="18"/>
              </w:rPr>
              <w:t xml:space="preserve">US$6,000.00</w:t>
            </w:r>
          </w:p>
        </w:tc>
      </w:tr>
      <w:tr>
        <w:trPr>
          <w:cantSplit/>
        </w:trPr>
        <w:tc>
          <w:tcPr>
            <w:tcW w:type="dxa" w:w="327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8"/>
                <w:szCs w:val="18"/>
              </w:rPr>
              <w:t xml:space="preserve">Destino</w:t>
            </w:r>
          </w:p>
        </w:tc>
        <w:tc>
          <w:tcPr>
            <w:tcW w:type="dxa" w:w="60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8"/>
                <w:szCs w:val="18"/>
              </w:rPr>
              <w:t xml:space="preserve">Mejoras a la vivienda (techo y baño), según cotizaciones adjuntas</w:t>
            </w:r>
          </w:p>
        </w:tc>
      </w:tr>
      <w:tr>
        <w:trPr>
          <w:cantSplit/>
        </w:trPr>
        <w:tc>
          <w:tcPr>
            <w:tcW w:type="dxa" w:w="327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8"/>
                <w:szCs w:val="18"/>
              </w:rPr>
              <w:t xml:space="preserve">Plazo / tasa</w:t>
            </w:r>
          </w:p>
        </w:tc>
        <w:tc>
          <w:tcPr>
            <w:tcW w:type="dxa" w:w="60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8"/>
                <w:szCs w:val="18"/>
              </w:rPr>
              <w:t xml:space="preserve">48 meses / 16 % nominal anual (inferior a la tasa máxima legal vigente para el segmento, verificada en la publicación semestral del BCR)</w:t>
            </w:r>
          </w:p>
        </w:tc>
      </w:tr>
      <w:tr>
        <w:trPr>
          <w:cantSplit/>
        </w:trPr>
        <w:tc>
          <w:tcPr>
            <w:tcW w:type="dxa" w:w="327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8"/>
                <w:szCs w:val="18"/>
              </w:rPr>
              <w:t xml:space="preserve">Cuota estimada</w:t>
            </w:r>
          </w:p>
        </w:tc>
        <w:tc>
          <w:tcPr>
            <w:tcW w:type="dxa" w:w="60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8"/>
                <w:szCs w:val="18"/>
              </w:rPr>
              <w:t xml:space="preserve">US$170.04 mensuales (capital e intereses; cargos adicionales informados por separado)</w:t>
            </w:r>
          </w:p>
        </w:tc>
      </w:tr>
      <w:tr>
        <w:trPr>
          <w:cantSplit/>
        </w:trPr>
        <w:tc>
          <w:tcPr>
            <w:tcW w:type="dxa" w:w="327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b/>
                <w:bCs/>
                <w:sz w:val="18"/>
                <w:szCs w:val="18"/>
              </w:rPr>
              <w:t xml:space="preserve">Forma de pago</w:t>
            </w:r>
          </w:p>
        </w:tc>
        <w:tc>
          <w:tcPr>
            <w:tcW w:type="dxa" w:w="60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b w:val="false"/>
                <w:bCs w:val="false"/>
                <w:sz w:val="18"/>
                <w:szCs w:val="18"/>
              </w:rPr>
              <w:t xml:space="preserve">Débito automático de cuenta de nómina</w:t>
            </w:r>
          </w:p>
        </w:tc>
      </w:tr>
    </w:tbl>
    <w:p>
      <w:pPr>
        <w:spacing w:after="120"/>
      </w:pPr>
    </w:p>
    <w:p>
      <w:pPr>
        <w:keepNext/>
        <w:spacing w:after="60" w:before="120"/>
      </w:pPr>
      <w:r>
        <w:rPr>
          <w:b/>
          <w:bCs/>
          <w:color w:val="1F3864"/>
          <w:sz w:val="19"/>
          <w:szCs w:val="19"/>
        </w:rPr>
        <w:t xml:space="preserve">3. Información recibida y verificada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684"/>
        <w:gridCol w:w="4868"/>
      </w:tblGrid>
      <w:tr>
        <w:trPr>
          <w:cantSplit/>
          <w:tblHeader/>
        </w:trPr>
        <w:tc>
          <w:tcPr>
            <w:tcW w:type="dxa" w:w="2808"/>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Documento</w:t>
            </w:r>
          </w:p>
        </w:tc>
        <w:tc>
          <w:tcPr>
            <w:tcW w:type="dxa" w:w="1684"/>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Fecha</w:t>
            </w:r>
          </w:p>
        </w:tc>
        <w:tc>
          <w:tcPr>
            <w:tcW w:type="dxa" w:w="4868"/>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Verificación</w:t>
            </w:r>
          </w:p>
        </w:tc>
      </w:tr>
      <w:tr>
        <w:trPr>
          <w:cantSplit/>
        </w:trPr>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DUI</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Vigente</w:t>
            </w:r>
          </w:p>
        </w:tc>
        <w:tc>
          <w:tcPr>
            <w:tcW w:type="dxa" w:w="486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Cotejado con original; validación de identidad.</w:t>
            </w:r>
          </w:p>
        </w:tc>
      </w:tr>
      <w:tr>
        <w:trPr>
          <w:cantSplit/>
        </w:trPr>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Constancia de salario</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15/09/2026</w:t>
            </w:r>
          </w:p>
        </w:tc>
        <w:tc>
          <w:tcPr>
            <w:tcW w:type="dxa" w:w="486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Confirmada por llamada a Recursos Humanos (número obtenido del directorio de la empresa).</w:t>
            </w:r>
          </w:p>
        </w:tc>
      </w:tr>
      <w:tr>
        <w:trPr>
          <w:cantSplit/>
        </w:trPr>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Boletas de pago (3 meses)</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Jul–sep 2026</w:t>
            </w:r>
          </w:p>
        </w:tc>
        <w:tc>
          <w:tcPr>
            <w:tcW w:type="dxa" w:w="486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Salario bruto US$1,400; descuentos de ley US$205; neto US$1,195.</w:t>
            </w:r>
          </w:p>
        </w:tc>
      </w:tr>
      <w:tr>
        <w:trPr>
          <w:cantSplit/>
        </w:trPr>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Estados de cuenta (3 meses)</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Jul–sep 2026</w:t>
            </w:r>
          </w:p>
        </w:tc>
        <w:tc>
          <w:tcPr>
            <w:tcW w:type="dxa" w:w="486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Abonos de nómina de US$1,195 coincidentes.</w:t>
            </w:r>
          </w:p>
        </w:tc>
      </w:tr>
      <w:tr>
        <w:trPr>
          <w:cantSplit/>
        </w:trPr>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Reporte de historial crediticio</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26/10/2026</w:t>
            </w:r>
          </w:p>
        </w:tc>
        <w:tc>
          <w:tcPr>
            <w:tcW w:type="dxa" w:w="486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Consulta autorizada por escrito el 20/10/2026.</w:t>
            </w:r>
          </w:p>
        </w:tc>
      </w:tr>
      <w:tr>
        <w:trPr>
          <w:cantSplit/>
        </w:trPr>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Cotizaciones de materiales y mano de obra</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Oct 2026</w:t>
            </w:r>
          </w:p>
        </w:tc>
        <w:tc>
          <w:tcPr>
            <w:tcW w:type="dxa" w:w="486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Suman US$6,150; coherentes con el destino.</w:t>
            </w:r>
          </w:p>
        </w:tc>
      </w:tr>
    </w:tbl>
    <w:p>
      <w:pPr>
        <w:spacing w:after="120"/>
      </w:pPr>
    </w:p>
    <w:p>
      <w:pPr>
        <w:keepNext/>
        <w:spacing w:after="60" w:before="120"/>
      </w:pPr>
      <w:r>
        <w:rPr>
          <w:b/>
          <w:bCs/>
          <w:color w:val="1F3864"/>
          <w:sz w:val="19"/>
          <w:szCs w:val="19"/>
        </w:rPr>
        <w:t xml:space="preserve">4. Ingresos y gastos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872"/>
        <w:gridCol w:w="3744"/>
      </w:tblGrid>
      <w:tr>
        <w:trPr>
          <w:cantSplit/>
          <w:tblHeader/>
        </w:trPr>
        <w:tc>
          <w:tcPr>
            <w:tcW w:type="dxa" w:w="3744"/>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Concepto</w:t>
            </w:r>
          </w:p>
        </w:tc>
        <w:tc>
          <w:tcPr>
            <w:tcW w:type="dxa" w:w="187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US$ mensual</w:t>
            </w:r>
          </w:p>
        </w:tc>
        <w:tc>
          <w:tcPr>
            <w:tcW w:type="dxa" w:w="3744"/>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Criterio</w:t>
            </w:r>
          </w:p>
        </w:tc>
      </w:tr>
      <w:tr>
        <w:trPr>
          <w:cantSplit/>
        </w:trPr>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Ingreso bruto</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right"/>
            </w:pPr>
            <w:r>
              <w:rPr>
                <w:sz w:val="18"/>
                <w:szCs w:val="18"/>
              </w:rPr>
              <w:t xml:space="preserve">1,400.00</w:t>
            </w:r>
          </w:p>
        </w:tc>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Constancia y boletas</w:t>
            </w:r>
          </w:p>
        </w:tc>
      </w:tr>
      <w:tr>
        <w:trPr>
          <w:cantSplit/>
        </w:trPr>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Descuentos de ley</w:t>
            </w:r>
          </w:p>
        </w:tc>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right"/>
            </w:pPr>
            <w:r>
              <w:rPr>
                <w:sz w:val="18"/>
                <w:szCs w:val="18"/>
              </w:rPr>
              <w:t xml:space="preserve">205.00</w:t>
            </w:r>
          </w:p>
        </w:tc>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Boletas</w:t>
            </w:r>
          </w:p>
        </w:tc>
      </w:tr>
      <w:tr>
        <w:trPr>
          <w:cantSplit/>
        </w:trPr>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Ingreso neto verificado</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right"/>
            </w:pPr>
            <w:r>
              <w:rPr>
                <w:sz w:val="18"/>
                <w:szCs w:val="18"/>
              </w:rPr>
              <w:t xml:space="preserve">1,195.00</w:t>
            </w:r>
          </w:p>
        </w:tc>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Boletas y abonos</w:t>
            </w:r>
          </w:p>
        </w:tc>
      </w:tr>
      <w:tr>
        <w:trPr>
          <w:cantSplit/>
        </w:trPr>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Gastos esenciales</w:t>
            </w:r>
          </w:p>
        </w:tc>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right"/>
            </w:pPr>
            <w:r>
              <w:rPr>
                <w:sz w:val="18"/>
                <w:szCs w:val="18"/>
              </w:rPr>
              <w:t xml:space="preserve">520.00</w:t>
            </w:r>
          </w:p>
        </w:tc>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Declarado (mayor que el mínimo institucional de US$480)</w:t>
            </w:r>
          </w:p>
        </w:tc>
      </w:tr>
      <w:tr>
        <w:trPr>
          <w:cantSplit/>
        </w:trPr>
        <w:tc>
          <w:tcPr>
            <w:tcW w:type="dxa" w:w="3744"/>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r>
              <w:rPr>
                <w:b/>
                <w:bCs/>
                <w:sz w:val="18"/>
                <w:szCs w:val="18"/>
              </w:rPr>
              <w:t xml:space="preserve">Ingreso neto disponible</w:t>
            </w:r>
          </w:p>
        </w:tc>
        <w:tc>
          <w:tcPr>
            <w:tcW w:type="dxa" w:w="1872"/>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right"/>
            </w:pPr>
            <w:r>
              <w:rPr>
                <w:b/>
                <w:bCs/>
                <w:sz w:val="18"/>
                <w:szCs w:val="18"/>
              </w:rPr>
              <w:t xml:space="preserve">675.00</w:t>
            </w:r>
          </w:p>
        </w:tc>
        <w:tc>
          <w:tcPr>
            <w:tcW w:type="dxa" w:w="3744"/>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r>
              <w:rPr>
                <w:b/>
                <w:bCs/>
                <w:sz w:val="18"/>
                <w:szCs w:val="18"/>
              </w:rPr>
              <w:t xml:space="preserve">1,195 − 520</w:t>
            </w:r>
          </w:p>
        </w:tc>
      </w:tr>
    </w:tbl>
    <w:p>
      <w:pPr>
        <w:spacing w:after="120"/>
      </w:pPr>
    </w:p>
    <w:p>
      <w:pPr>
        <w:keepNext/>
        <w:spacing w:after="60" w:before="120"/>
      </w:pPr>
      <w:r>
        <w:rPr>
          <w:b/>
          <w:bCs/>
          <w:color w:val="1F3864"/>
          <w:sz w:val="19"/>
          <w:szCs w:val="19"/>
        </w:rPr>
        <w:t xml:space="preserve">5. Endeudamiento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497"/>
        <w:gridCol w:w="1872"/>
        <w:gridCol w:w="2809"/>
      </w:tblGrid>
      <w:tr>
        <w:trPr>
          <w:cantSplit/>
          <w:tblHeader/>
        </w:trPr>
        <w:tc>
          <w:tcPr>
            <w:tcW w:type="dxa" w:w="318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Acreedor / tipo</w:t>
            </w:r>
          </w:p>
        </w:tc>
        <w:tc>
          <w:tcPr>
            <w:tcW w:type="dxa" w:w="1497"/>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Saldo US$</w:t>
            </w:r>
          </w:p>
        </w:tc>
        <w:tc>
          <w:tcPr>
            <w:tcW w:type="dxa" w:w="187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Cuota considerada US$</w:t>
            </w:r>
          </w:p>
        </w:tc>
        <w:tc>
          <w:tcPr>
            <w:tcW w:type="dxa" w:w="280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Estado</w:t>
            </w:r>
          </w:p>
        </w:tc>
      </w:tr>
      <w:tr>
        <w:trPr>
          <w:cantSplit/>
        </w:trPr>
        <w:tc>
          <w:tcPr>
            <w:tcW w:type="dxa" w:w="318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Tarjeta de crédito (otra entidad)</w:t>
            </w:r>
          </w:p>
        </w:tc>
        <w:tc>
          <w:tcPr>
            <w:tcW w:type="dxa" w:w="149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1,200.00</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60.00</w:t>
            </w:r>
          </w:p>
        </w:tc>
        <w:tc>
          <w:tcPr>
            <w:tcW w:type="dxa" w:w="280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Al día. Cuota = 5 % del saldo (criterio de política, supuesto).</w:t>
            </w:r>
          </w:p>
        </w:tc>
      </w:tr>
      <w:tr>
        <w:trPr>
          <w:cantSplit/>
        </w:trPr>
        <w:tc>
          <w:tcPr>
            <w:tcW w:type="dxa" w:w="3182"/>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r>
              <w:rPr>
                <w:b/>
                <w:bCs/>
                <w:sz w:val="18"/>
                <w:szCs w:val="18"/>
              </w:rPr>
              <w:t xml:space="preserve">Total</w:t>
            </w:r>
          </w:p>
        </w:tc>
        <w:tc>
          <w:tcPr>
            <w:tcW w:type="dxa" w:w="1497"/>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r>
              <w:rPr>
                <w:b/>
                <w:bCs/>
                <w:sz w:val="18"/>
                <w:szCs w:val="18"/>
              </w:rPr>
              <w:t xml:space="preserve">1,200.00</w:t>
            </w:r>
          </w:p>
        </w:tc>
        <w:tc>
          <w:tcPr>
            <w:tcW w:type="dxa" w:w="1872"/>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r>
              <w:rPr>
                <w:b/>
                <w:bCs/>
                <w:sz w:val="18"/>
                <w:szCs w:val="18"/>
              </w:rPr>
              <w:t xml:space="preserve">60.00</w:t>
            </w:r>
          </w:p>
        </w:tc>
        <w:tc>
          <w:tcPr>
            <w:tcW w:type="dxa" w:w="2809"/>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p>
        </w:tc>
      </w:tr>
    </w:tbl>
    <w:p>
      <w:pPr>
        <w:spacing w:after="120"/>
      </w:pPr>
    </w:p>
    <w:p>
      <w:pPr>
        <w:keepNext/>
        <w:spacing w:after="60" w:before="120"/>
      </w:pPr>
      <w:r>
        <w:rPr>
          <w:b/>
          <w:bCs/>
          <w:color w:val="1F3864"/>
          <w:sz w:val="19"/>
          <w:szCs w:val="19"/>
        </w:rPr>
        <w:t xml:space="preserve">6. Capacidad de 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0"/>
        <w:gridCol w:w="2995"/>
        <w:gridCol w:w="1497"/>
        <w:gridCol w:w="2248"/>
      </w:tblGrid>
      <w:tr>
        <w:trPr>
          <w:cantSplit/>
          <w:tblHeader/>
        </w:trPr>
        <w:tc>
          <w:tcPr>
            <w:tcW w:type="dxa" w:w="262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Indicador</w:t>
            </w:r>
          </w:p>
        </w:tc>
        <w:tc>
          <w:tcPr>
            <w:tcW w:type="dxa" w:w="2995"/>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Cálculo</w:t>
            </w:r>
          </w:p>
        </w:tc>
        <w:tc>
          <w:tcPr>
            <w:tcW w:type="dxa" w:w="1497"/>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Resultado</w:t>
            </w:r>
          </w:p>
        </w:tc>
        <w:tc>
          <w:tcPr>
            <w:tcW w:type="dxa" w:w="2248"/>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Lectura</w:t>
            </w:r>
          </w:p>
        </w:tc>
      </w:tr>
      <w:tr>
        <w:trPr>
          <w:cantSplit/>
        </w:trPr>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Relación deuda-ingreso</w:t>
            </w:r>
          </w:p>
        </w:tc>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(60 + 170.04) ÷ 1,195 × 100</w:t>
            </w:r>
          </w:p>
        </w:tc>
        <w:tc>
          <w:tcPr>
            <w:tcW w:type="dxa" w:w="149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19.25 %</w:t>
            </w:r>
          </w:p>
        </w:tc>
        <w:tc>
          <w:tcPr>
            <w:tcW w:type="dxa" w:w="22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Zona holgada (rango orientativo).</w:t>
            </w:r>
          </w:p>
        </w:tc>
      </w:tr>
      <w:tr>
        <w:trPr>
          <w:cantSplit/>
        </w:trPr>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Capacidad residual</w:t>
            </w:r>
          </w:p>
        </w:tc>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1,195 − 520 − 60 − 170.04</w:t>
            </w:r>
          </w:p>
        </w:tc>
        <w:tc>
          <w:tcPr>
            <w:tcW w:type="dxa" w:w="149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US$444.96</w:t>
            </w:r>
          </w:p>
        </w:tc>
        <w:tc>
          <w:tcPr>
            <w:tcW w:type="dxa" w:w="22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37.2 % del ingreso neto.</w:t>
            </w:r>
          </w:p>
        </w:tc>
      </w:tr>
      <w:tr>
        <w:trPr>
          <w:cantSplit/>
        </w:trPr>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Escenario adverso (ingreso −10 %, gastos +10 %)</w:t>
            </w:r>
          </w:p>
        </w:tc>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1,075.50 − 572 − 60 − 170.04</w:t>
            </w:r>
          </w:p>
        </w:tc>
        <w:tc>
          <w:tcPr>
            <w:tcW w:type="dxa" w:w="149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US$273.46</w:t>
            </w:r>
          </w:p>
        </w:tc>
        <w:tc>
          <w:tcPr>
            <w:tcW w:type="dxa" w:w="22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Sigue positiva.</w:t>
            </w:r>
          </w:p>
        </w:tc>
      </w:tr>
      <w:tr>
        <w:trPr>
          <w:cantSplit/>
        </w:trPr>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Relación deuda-ingreso adversa</w:t>
            </w:r>
          </w:p>
        </w:tc>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230.04 ÷ 1,075.50 × 100</w:t>
            </w:r>
          </w:p>
        </w:tc>
        <w:tc>
          <w:tcPr>
            <w:tcW w:type="dxa" w:w="149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21.39 %</w:t>
            </w:r>
          </w:p>
        </w:tc>
        <w:tc>
          <w:tcPr>
            <w:tcW w:type="dxa" w:w="22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Zona holgada.</w:t>
            </w:r>
          </w:p>
        </w:tc>
      </w:tr>
    </w:tbl>
    <w:p>
      <w:pPr>
        <w:spacing w:after="120"/>
      </w:pPr>
    </w:p>
    <w:p>
      <w:pPr>
        <w:keepNext w:val="false"/>
        <w:spacing w:after="120" w:before="0"/>
        <w:jc w:val="both"/>
      </w:pPr>
      <w:r>
        <w:rPr>
          <w:b/>
          <w:bCs/>
        </w:rPr>
        <w:t xml:space="preserve">7. Historial crediticio.</w:t>
      </w:r>
      <w:r>
        <w:t xml:space="preserve"> Sin atrasos en los últimos 24 meses. Un préstamo personal cancelado en 2024 con pagos puntuales. Una consulta en los últimos seis meses (la de esta institución). Sin fianzas a terceros.</w:t>
      </w:r>
    </w:p>
    <w:p>
      <w:pPr>
        <w:keepNext w:val="false"/>
        <w:spacing w:after="120" w:before="0"/>
        <w:jc w:val="both"/>
      </w:pPr>
      <w:r>
        <w:rPr>
          <w:b/>
          <w:bCs/>
        </w:rPr>
        <w:t xml:space="preserve">8. Garantías.</w:t>
      </w:r>
      <w:r>
        <w:t xml:space="preserve"> Sin garantía real. Crédito con firma del deudor y orden de descuento o débito automático, según política del producto.</w:t>
      </w:r>
    </w:p>
    <w:p>
      <w:pPr>
        <w:keepNext/>
        <w:spacing w:after="60" w:before="120"/>
      </w:pPr>
      <w:r>
        <w:rPr>
          <w:b/>
          <w:bCs/>
          <w:color w:val="1F3864"/>
          <w:sz w:val="19"/>
          <w:szCs w:val="19"/>
        </w:rPr>
        <w:t xml:space="preserve">9. 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1872"/>
        <w:gridCol w:w="3369"/>
        <w:gridCol w:w="1873"/>
      </w:tblGrid>
      <w:tr>
        <w:trPr>
          <w:cantSplit/>
          <w:tblHeader/>
        </w:trPr>
        <w:tc>
          <w:tcPr>
            <w:tcW w:type="dxa" w:w="224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Riesgo</w:t>
            </w:r>
          </w:p>
        </w:tc>
        <w:tc>
          <w:tcPr>
            <w:tcW w:type="dxa" w:w="187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Inherente</w:t>
            </w:r>
          </w:p>
        </w:tc>
        <w:tc>
          <w:tcPr>
            <w:tcW w:type="dxa" w:w="336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Control</w:t>
            </w:r>
          </w:p>
        </w:tc>
        <w:tc>
          <w:tcPr>
            <w:tcW w:type="dxa" w:w="1873"/>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Residual</w:t>
            </w:r>
          </w:p>
        </w:tc>
      </w:tr>
      <w:tr>
        <w:trPr>
          <w:cantSplit/>
        </w:trPr>
        <w:tc>
          <w:tcPr>
            <w:tcW w:type="dxa" w:w="224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Incumplimiento</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Alto (3×5=15)</w:t>
            </w:r>
          </w:p>
        </w:tc>
        <w:tc>
          <w:tcPr>
            <w:tcW w:type="dxa" w:w="336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Capacidad holgada y adverso positivo; débito automático (adecuado 0.6)</w:t>
            </w:r>
          </w:p>
        </w:tc>
        <w:tc>
          <w:tcPr>
            <w:tcW w:type="dxa" w:w="187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Moderado (9)</w:t>
            </w:r>
          </w:p>
        </w:tc>
      </w:tr>
      <w:tr>
        <w:trPr>
          <w:cantSplit/>
        </w:trPr>
        <w:tc>
          <w:tcPr>
            <w:tcW w:type="dxa" w:w="224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Pérdida de empleo</w:t>
            </w:r>
          </w:p>
        </w:tc>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Moderado (2×4=8)</w:t>
            </w:r>
          </w:p>
        </w:tc>
        <w:tc>
          <w:tcPr>
            <w:tcW w:type="dxa" w:w="336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Antigüedad de 6 años, contrato indefinido (adecuado 0.6)</w:t>
            </w:r>
          </w:p>
        </w:tc>
        <w:tc>
          <w:tcPr>
            <w:tcW w:type="dxa" w:w="187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Bajo (4.8)</w:t>
            </w:r>
          </w:p>
        </w:tc>
      </w:tr>
      <w:tr>
        <w:trPr>
          <w:cantSplit/>
        </w:trPr>
        <w:tc>
          <w:tcPr>
            <w:tcW w:type="dxa" w:w="224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Destino distinto</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Bajo (2×2=4)</w:t>
            </w:r>
          </w:p>
        </w:tc>
        <w:tc>
          <w:tcPr>
            <w:tcW w:type="dxa" w:w="336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Cotizaciones; destino de consumo (adecuado 0.6)</w:t>
            </w:r>
          </w:p>
        </w:tc>
        <w:tc>
          <w:tcPr>
            <w:tcW w:type="dxa" w:w="187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Bajo (2.4)</w:t>
            </w:r>
          </w:p>
        </w:tc>
      </w:tr>
    </w:tbl>
    <w:p>
      <w:pPr>
        <w:spacing w:after="120"/>
      </w:pPr>
    </w:p>
    <w:p>
      <w:pPr>
        <w:keepNext w:val="false"/>
        <w:spacing w:after="120" w:before="0"/>
        <w:jc w:val="both"/>
      </w:pPr>
      <w:r>
        <w:rPr>
          <w:b/>
          <w:bCs/>
        </w:rPr>
        <w:t xml:space="preserve">10. Controles y condiciones propuestas.</w:t>
      </w:r>
      <w:r>
        <w:t xml:space="preserve"> (a) Débito automático de la cuota de la cuenta de nómina. (b) Firma de documentos contractuales con entrega previa de la información de costos y condiciones exigida por la normativa de transparencia. (c) Seguro de deuda conforme a la política del producto, si aplica.</w:t>
      </w:r>
    </w:p>
    <w:p>
      <w:pPr>
        <w:keepNext w:val="false"/>
        <w:spacing w:after="120" w:before="0"/>
        <w:jc w:val="both"/>
      </w:pPr>
      <w:r>
        <w:rPr>
          <w:b/>
          <w:bCs/>
        </w:rPr>
        <w:t xml:space="preserve">11. Limitaciones del análisis.</w:t>
      </w:r>
      <w:r>
        <w:t xml:space="preserve"> Los gastos esenciales se basan en la declaración de la solicitante contrastada con el mínimo institucional y con los movimientos de la cuenta; no se verificaron recibos de todos los rubros. La estabilidad laboral se infiere de la antigüedad y del tipo de contrato; no se analizó la situación financiera del empleador.</w:t>
      </w:r>
    </w:p>
    <w:p>
      <w:pPr>
        <w:keepNext w:val="false"/>
        <w:spacing w:after="120" w:before="0"/>
        <w:jc w:val="both"/>
      </w:pPr>
      <w:r>
        <w:rPr>
          <w:b/>
          <w:bCs/>
        </w:rPr>
        <w:t xml:space="preserve">12. Conclusión.</w:t>
      </w:r>
      <w:r>
        <w:t xml:space="preserve"> La solicitante presenta capacidad de pago holgada, verificada con dos fuentes, bajo nivel de endeudamiento y buen historial. La operación resiste un escenario adverso combinado. Puntuación interna: 83/100. No se identifican riesgos críticos.</w:t>
      </w:r>
    </w:p>
    <w:p>
      <w:pPr>
        <w:keepNext w:val="false"/>
        <w:spacing w:after="120" w:before="0"/>
        <w:jc w:val="both"/>
      </w:pPr>
      <w:r>
        <w:rPr>
          <w:b/>
          <w:bCs/>
        </w:rPr>
        <w:t xml:space="preserve">13. Recomendación: FAVORABLE</w:t>
      </w:r>
      <w:r>
        <w:t xml:space="preserve">, en las condiciones solicitadas (US$6,000, 48 meses, 16 % anual), sujeta a las condiciones del punto 10. </w:t>
      </w:r>
      <w:r>
        <w:rPr>
          <w:b/>
          <w:bCs/>
        </w:rPr>
        <w:t xml:space="preserve">Justificación:</w:t>
      </w:r>
      <w:r>
        <w:t xml:space="preserve"> capacidad residual de US$444.96 (37.2 % del ingreso neto) que se mantiene positiva en escenario adverso (US$273.46); relación deuda-ingreso de 19.25 %; historial sin atrasos; documentación completa y verificada.</w:t>
      </w:r>
    </w:p>
    <w:p>
      <w:pPr>
        <w:keepNext w:val="false"/>
        <w:spacing w:after="120" w:before="0"/>
        <w:jc w:val="both"/>
      </w:pPr>
      <w:r>
        <w:rPr>
          <w:b/>
          <w:bCs/>
        </w:rPr>
        <w:t xml:space="preserve">14. Responsable.</w:t>
      </w:r>
      <w:r>
        <w:t xml:space="preserve"> Lic. Analista Ejemplo, Analista de Crédito — Firma: ____________ — Fecha: 27/10/2026. Revisado por: ____________.</w:t>
      </w:r>
    </w:p>
    <w:p>
      <w:pPr>
        <w:keepNext w:val="false"/>
        <w:spacing w:after="120" w:before="0"/>
        <w:jc w:val="both"/>
      </w:pPr>
      <w:r>
        <w:rPr>
          <w:b/>
          <w:bCs/>
        </w:rPr>
        <w:t xml:space="preserve">15. Referencias documentales.</w:t>
      </w:r>
      <w:r>
        <w:t xml:space="preserve"> EXP-2026-0456: doc. 01 DUI; doc. 02 constancia salarial; docs. 03–05 boletas; docs. 06–08 estados de cuenta; doc. 09 autorización y reporte de historial; doc. 10 cotizaciones; doc. 11 hoja de cálculo de capacidad (versión 1.0).</w:t>
      </w:r>
    </w:p>
    <w:p>
      <w:pPr>
        <w:pStyle w:val="Heading1"/>
        <w:pageBreakBefore/>
      </w:pPr>
      <w:r>
        <w:t xml:space="preserve">Capítulo 12. Documentación, trazabilidad y control interno</w:t>
      </w:r>
    </w:p>
    <w:p>
      <w:pPr>
        <w:keepNext w:val="false"/>
        <w:spacing w:after="120" w:before="0"/>
        <w:jc w:val="both"/>
      </w:pPr>
      <w:r>
        <w:rPr>
          <w:i/>
          <w:iCs/>
        </w:rPr>
        <w:t xml:space="preserve">Desarrolla el apartado original 9: «Documentación del proceso de evaluación crediticia».</w:t>
      </w:r>
    </w:p>
    <w:p>
      <w:pPr>
        <w:pStyle w:val="Heading2"/>
        <w:keepNext/>
      </w:pPr>
      <w:r>
        <w:t xml:space="preserve">12.1 Qué significa trazabilidad</w:t>
      </w:r>
    </w:p>
    <w:p>
      <w:pPr>
        <w:keepNext w:val="false"/>
        <w:spacing w:after="120" w:before="0"/>
        <w:jc w:val="both"/>
      </w:pPr>
      <w:r>
        <w:t xml:space="preserve">Trazabilidad es la capacidad de </w:t>
      </w:r>
      <w:r>
        <w:rPr>
          <w:b/>
          <w:bCs/>
        </w:rPr>
        <w:t xml:space="preserve">reconstruir</w:t>
      </w:r>
      <w:r>
        <w:t xml:space="preserve"> una decisión crediticia: saber qué información se usó, de dónde provino, cuándo se obtuvo, quién la verificó, qué cálculos se hicieron, quién decidió y con qué condiciones. Un expediente trazable permite que un revisor independiente llegue a la misma conclusión con la misma evidencia.</w:t>
      </w:r>
    </w:p>
    <w:p>
      <w:pPr>
        <w:pStyle w:val="Heading2"/>
        <w:keepNext/>
      </w:pPr>
      <w:r>
        <w:t xml:space="preserve">12.2 Elementos de un expediente trazable</w:t>
      </w:r>
    </w:p>
    <w:p>
      <w:pPr>
        <w:keepNext/>
        <w:spacing w:after="60" w:before="120"/>
      </w:pPr>
      <w:r>
        <w:rPr>
          <w:b/>
          <w:bCs/>
          <w:color w:val="1F3864"/>
          <w:sz w:val="19"/>
          <w:szCs w:val="19"/>
        </w:rPr>
        <w:t xml:space="preserve">Tabla 12.1. Componentes de la trazabilidad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369"/>
        <w:gridCol w:w="3932"/>
      </w:tblGrid>
      <w:tr>
        <w:trPr>
          <w:cantSplit/>
          <w:tblHeader/>
        </w:trPr>
        <w:tc>
          <w:tcPr>
            <w:tcW w:type="dxa" w:w="205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Elemento</w:t>
            </w:r>
          </w:p>
        </w:tc>
        <w:tc>
          <w:tcPr>
            <w:tcW w:type="dxa" w:w="336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Qué contiene</w:t>
            </w:r>
          </w:p>
        </w:tc>
        <w:tc>
          <w:tcPr>
            <w:tcW w:type="dxa" w:w="393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Buena práctica</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Expediente organizado</w:t>
            </w:r>
          </w:p>
        </w:tc>
        <w:tc>
          <w:tcPr>
            <w:tcW w:type="dxa" w:w="336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Documentos en orden estándar con índice.</w:t>
            </w:r>
          </w:p>
        </w:tc>
        <w:tc>
          <w:tcPr>
            <w:tcW w:type="dxa" w:w="393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Misma estructura para todos los productos; índice numerado.</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Evidencia de verificaciones</w:t>
            </w:r>
          </w:p>
        </w:tc>
        <w:tc>
          <w:tcPr>
            <w:tcW w:type="dxa" w:w="336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Registro de llamadas, visitas, consultas.</w:t>
            </w:r>
          </w:p>
        </w:tc>
        <w:tc>
          <w:tcPr>
            <w:tcW w:type="dxa" w:w="393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Fecha, hora, persona contactada, resultado y quién verificó.</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Fuente y fecha de los datos</w:t>
            </w:r>
          </w:p>
        </w:tc>
        <w:tc>
          <w:tcPr>
            <w:tcW w:type="dxa" w:w="336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Origen de cada cifra.</w:t>
            </w:r>
          </w:p>
        </w:tc>
        <w:tc>
          <w:tcPr>
            <w:tcW w:type="dxa" w:w="393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Anotar fuente y fecha junto a cada dato en la hoja de cálculo.</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Cálculos reproducibles</w:t>
            </w:r>
          </w:p>
        </w:tc>
        <w:tc>
          <w:tcPr>
            <w:tcW w:type="dxa" w:w="336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Hoja de cálculo con fórmulas visibles.</w:t>
            </w:r>
          </w:p>
        </w:tc>
        <w:tc>
          <w:tcPr>
            <w:tcW w:type="dxa" w:w="393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Plantilla institucional protegida; versión numerada.</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Justificación de supuestos</w:t>
            </w:r>
          </w:p>
        </w:tc>
        <w:tc>
          <w:tcPr>
            <w:tcW w:type="dxa" w:w="336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Por qué se usó un gasto, un descuento o una base de ingreso.</w:t>
            </w:r>
          </w:p>
        </w:tc>
        <w:tc>
          <w:tcPr>
            <w:tcW w:type="dxa" w:w="393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Texto breve en el informe.</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Registro de alertas</w:t>
            </w:r>
          </w:p>
        </w:tc>
        <w:tc>
          <w:tcPr>
            <w:tcW w:type="dxa" w:w="336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Alertas detectadas y cómo se resolvieron.</w:t>
            </w:r>
          </w:p>
        </w:tc>
        <w:tc>
          <w:tcPr>
            <w:tcW w:type="dxa" w:w="393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Ninguna alerta queda abierta sin explicación.</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Decisiones y autorizaciones</w:t>
            </w:r>
          </w:p>
        </w:tc>
        <w:tc>
          <w:tcPr>
            <w:tcW w:type="dxa" w:w="336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Acta o resolución con nombres y facultades.</w:t>
            </w:r>
          </w:p>
        </w:tc>
        <w:tc>
          <w:tcPr>
            <w:tcW w:type="dxa" w:w="393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Indicar si la decisión coincide o no con la recomendación y por qué.</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Condiciones de aprobación</w:t>
            </w:r>
          </w:p>
        </w:tc>
        <w:tc>
          <w:tcPr>
            <w:tcW w:type="dxa" w:w="336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Condiciones previas y posteriores.</w:t>
            </w:r>
          </w:p>
        </w:tc>
        <w:tc>
          <w:tcPr>
            <w:tcW w:type="dxa" w:w="393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Lista verificable antes del desembolso.</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Segregación de funciones</w:t>
            </w:r>
          </w:p>
        </w:tc>
        <w:tc>
          <w:tcPr>
            <w:tcW w:type="dxa" w:w="336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Quién promovió, analizó, aprobó y desembolsó.</w:t>
            </w:r>
          </w:p>
        </w:tc>
        <w:tc>
          <w:tcPr>
            <w:tcW w:type="dxa" w:w="393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Ninguna persona concentra etapas incompatibles.</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Conservación documental</w:t>
            </w:r>
          </w:p>
        </w:tc>
        <w:tc>
          <w:tcPr>
            <w:tcW w:type="dxa" w:w="336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Archivo físico o digital por el plazo aplicable.</w:t>
            </w:r>
          </w:p>
        </w:tc>
        <w:tc>
          <w:tcPr>
            <w:tcW w:type="dxa" w:w="393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Plazo según normativa aplicable y política; control de acceso.</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Control de modificaciones</w:t>
            </w:r>
          </w:p>
        </w:tc>
        <w:tc>
          <w:tcPr>
            <w:tcW w:type="dxa" w:w="336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Cambios en datos o en el informe.</w:t>
            </w:r>
          </w:p>
        </w:tc>
        <w:tc>
          <w:tcPr>
            <w:tcW w:type="dxa" w:w="393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Bitácora con fecha, autor, motivo; no sobrescribir versiones.</w:t>
            </w:r>
          </w:p>
        </w:tc>
      </w:tr>
    </w:tbl>
    <w:p>
      <w:pPr>
        <w:spacing w:after="120"/>
      </w:pPr>
    </w:p>
    <w:p>
      <w:pPr>
        <w:pStyle w:val="Heading2"/>
        <w:keepNext/>
      </w:pPr>
      <w:r>
        <w:t xml:space="preserve">12.3 Segregación de funciones</w:t>
      </w:r>
    </w:p>
    <w:p>
      <w:pPr>
        <w:keepNext/>
        <w:spacing w:after="60" w:before="120"/>
      </w:pPr>
      <w:r>
        <w:rPr>
          <w:b/>
          <w:bCs/>
          <w:color w:val="1F3864"/>
          <w:sz w:val="19"/>
          <w:szCs w:val="19"/>
        </w:rPr>
        <w:t xml:space="preserve">Tabla 12.2. Matriz ilustrativa de segregación (la estructura real depende de cada institución)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0"/>
        <w:gridCol w:w="1123"/>
        <w:gridCol w:w="1123"/>
        <w:gridCol w:w="1310"/>
        <w:gridCol w:w="936"/>
        <w:gridCol w:w="1123"/>
        <w:gridCol w:w="1125"/>
      </w:tblGrid>
      <w:tr>
        <w:trPr>
          <w:cantSplit/>
          <w:tblHeader/>
        </w:trPr>
        <w:tc>
          <w:tcPr>
            <w:tcW w:type="dxa" w:w="262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Función</w:t>
            </w:r>
          </w:p>
        </w:tc>
        <w:tc>
          <w:tcPr>
            <w:tcW w:type="dxa" w:w="1123"/>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Promotor</w:t>
            </w:r>
          </w:p>
        </w:tc>
        <w:tc>
          <w:tcPr>
            <w:tcW w:type="dxa" w:w="1123"/>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Analista</w:t>
            </w:r>
          </w:p>
        </w:tc>
        <w:tc>
          <w:tcPr>
            <w:tcW w:type="dxa" w:w="131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Aprobador</w:t>
            </w:r>
          </w:p>
        </w:tc>
        <w:tc>
          <w:tcPr>
            <w:tcW w:type="dxa" w:w="93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Legal</w:t>
            </w:r>
          </w:p>
        </w:tc>
        <w:tc>
          <w:tcPr>
            <w:tcW w:type="dxa" w:w="1123"/>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Desembolsos</w:t>
            </w:r>
          </w:p>
        </w:tc>
        <w:tc>
          <w:tcPr>
            <w:tcW w:type="dxa" w:w="1125"/>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Auditoría</w:t>
            </w:r>
          </w:p>
        </w:tc>
      </w:tr>
      <w:tr>
        <w:trPr>
          <w:cantSplit/>
        </w:trPr>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6"/>
                <w:szCs w:val="16"/>
              </w:rPr>
              <w:t xml:space="preserve">Captar y orientar al cliente</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6"/>
                <w:szCs w:val="16"/>
              </w:rPr>
              <w:t xml:space="preserve">Sí</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6"/>
                <w:szCs w:val="16"/>
              </w:rPr>
              <w:t xml:space="preserve">—</w:t>
            </w:r>
          </w:p>
        </w:tc>
        <w:tc>
          <w:tcPr>
            <w:tcW w:type="dxa" w:w="131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6"/>
                <w:szCs w:val="16"/>
              </w:rPr>
              <w:t xml:space="preserve">—</w:t>
            </w:r>
          </w:p>
        </w:tc>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6"/>
                <w:szCs w:val="16"/>
              </w:rPr>
              <w:t xml:space="preserve">—</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6"/>
                <w:szCs w:val="16"/>
              </w:rPr>
              <w:t xml:space="preserve">—</w:t>
            </w:r>
          </w:p>
        </w:tc>
        <w:tc>
          <w:tcPr>
            <w:tcW w:type="dxa" w:w="112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6"/>
                <w:szCs w:val="16"/>
              </w:rPr>
              <w:t xml:space="preserve">—</w:t>
            </w:r>
          </w:p>
        </w:tc>
      </w:tr>
      <w:tr>
        <w:trPr>
          <w:cantSplit/>
        </w:trPr>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6"/>
                <w:szCs w:val="16"/>
              </w:rPr>
              <w:t xml:space="preserve">Verificar y analizar</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6"/>
                <w:szCs w:val="16"/>
              </w:rPr>
              <w:t xml:space="preserve">Apoya</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6"/>
                <w:szCs w:val="16"/>
              </w:rPr>
              <w:t xml:space="preserve">Sí</w:t>
            </w:r>
          </w:p>
        </w:tc>
        <w:tc>
          <w:tcPr>
            <w:tcW w:type="dxa" w:w="131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6"/>
                <w:szCs w:val="16"/>
              </w:rPr>
              <w:t xml:space="preserve">—</w:t>
            </w:r>
          </w:p>
        </w:tc>
        <w:tc>
          <w:tcPr>
            <w:tcW w:type="dxa" w:w="93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6"/>
                <w:szCs w:val="16"/>
              </w:rPr>
              <w:t xml:space="preserve">—</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6"/>
                <w:szCs w:val="16"/>
              </w:rPr>
              <w:t xml:space="preserve">—</w:t>
            </w:r>
          </w:p>
        </w:tc>
        <w:tc>
          <w:tcPr>
            <w:tcW w:type="dxa" w:w="112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6"/>
                <w:szCs w:val="16"/>
              </w:rPr>
              <w:t xml:space="preserve">—</w:t>
            </w:r>
          </w:p>
        </w:tc>
      </w:tr>
      <w:tr>
        <w:trPr>
          <w:cantSplit/>
        </w:trPr>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6"/>
                <w:szCs w:val="16"/>
              </w:rPr>
              <w:t xml:space="preserve">Recomendar</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6"/>
                <w:szCs w:val="16"/>
              </w:rPr>
              <w:t xml:space="preserve">—</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6"/>
                <w:szCs w:val="16"/>
              </w:rPr>
              <w:t xml:space="preserve">Sí</w:t>
            </w:r>
          </w:p>
        </w:tc>
        <w:tc>
          <w:tcPr>
            <w:tcW w:type="dxa" w:w="131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6"/>
                <w:szCs w:val="16"/>
              </w:rPr>
              <w:t xml:space="preserve">—</w:t>
            </w:r>
          </w:p>
        </w:tc>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6"/>
                <w:szCs w:val="16"/>
              </w:rPr>
              <w:t xml:space="preserve">—</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6"/>
                <w:szCs w:val="16"/>
              </w:rPr>
              <w:t xml:space="preserve">—</w:t>
            </w:r>
          </w:p>
        </w:tc>
        <w:tc>
          <w:tcPr>
            <w:tcW w:type="dxa" w:w="112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6"/>
                <w:szCs w:val="16"/>
              </w:rPr>
              <w:t xml:space="preserve">—</w:t>
            </w:r>
          </w:p>
        </w:tc>
      </w:tr>
      <w:tr>
        <w:trPr>
          <w:cantSplit/>
        </w:trPr>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6"/>
                <w:szCs w:val="16"/>
              </w:rPr>
              <w:t xml:space="preserve">Aprobar</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6"/>
                <w:szCs w:val="16"/>
              </w:rPr>
              <w:t xml:space="preserve">No</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6"/>
                <w:szCs w:val="16"/>
              </w:rPr>
              <w:t xml:space="preserve">No</w:t>
            </w:r>
          </w:p>
        </w:tc>
        <w:tc>
          <w:tcPr>
            <w:tcW w:type="dxa" w:w="131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6"/>
                <w:szCs w:val="16"/>
              </w:rPr>
              <w:t xml:space="preserve">Sí (según facultades)</w:t>
            </w:r>
          </w:p>
        </w:tc>
        <w:tc>
          <w:tcPr>
            <w:tcW w:type="dxa" w:w="93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6"/>
                <w:szCs w:val="16"/>
              </w:rPr>
              <w:t xml:space="preserve">—</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6"/>
                <w:szCs w:val="16"/>
              </w:rPr>
              <w:t xml:space="preserve">—</w:t>
            </w:r>
          </w:p>
        </w:tc>
        <w:tc>
          <w:tcPr>
            <w:tcW w:type="dxa" w:w="112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6"/>
                <w:szCs w:val="16"/>
              </w:rPr>
              <w:t xml:space="preserve">No</w:t>
            </w:r>
          </w:p>
        </w:tc>
      </w:tr>
      <w:tr>
        <w:trPr>
          <w:cantSplit/>
        </w:trPr>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6"/>
                <w:szCs w:val="16"/>
              </w:rPr>
              <w:t xml:space="preserve">Formalizar garantías</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6"/>
                <w:szCs w:val="16"/>
              </w:rPr>
              <w:t xml:space="preserve">—</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6"/>
                <w:szCs w:val="16"/>
              </w:rPr>
              <w:t xml:space="preserve">—</w:t>
            </w:r>
          </w:p>
        </w:tc>
        <w:tc>
          <w:tcPr>
            <w:tcW w:type="dxa" w:w="131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6"/>
                <w:szCs w:val="16"/>
              </w:rPr>
              <w:t xml:space="preserve">—</w:t>
            </w:r>
          </w:p>
        </w:tc>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6"/>
                <w:szCs w:val="16"/>
              </w:rPr>
              <w:t xml:space="preserve">Sí</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6"/>
                <w:szCs w:val="16"/>
              </w:rPr>
              <w:t xml:space="preserve">—</w:t>
            </w:r>
          </w:p>
        </w:tc>
        <w:tc>
          <w:tcPr>
            <w:tcW w:type="dxa" w:w="112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6"/>
                <w:szCs w:val="16"/>
              </w:rPr>
              <w:t xml:space="preserve">—</w:t>
            </w:r>
          </w:p>
        </w:tc>
      </w:tr>
      <w:tr>
        <w:trPr>
          <w:cantSplit/>
        </w:trPr>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6"/>
                <w:szCs w:val="16"/>
              </w:rPr>
              <w:t xml:space="preserve">Desembolsar</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6"/>
                <w:szCs w:val="16"/>
              </w:rPr>
              <w:t xml:space="preserve">No</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6"/>
                <w:szCs w:val="16"/>
              </w:rPr>
              <w:t xml:space="preserve">No</w:t>
            </w:r>
          </w:p>
        </w:tc>
        <w:tc>
          <w:tcPr>
            <w:tcW w:type="dxa" w:w="131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6"/>
                <w:szCs w:val="16"/>
              </w:rPr>
              <w:t xml:space="preserve">No</w:t>
            </w:r>
          </w:p>
        </w:tc>
        <w:tc>
          <w:tcPr>
            <w:tcW w:type="dxa" w:w="93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6"/>
                <w:szCs w:val="16"/>
              </w:rPr>
              <w:t xml:space="preserve">—</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6"/>
                <w:szCs w:val="16"/>
              </w:rPr>
              <w:t xml:space="preserve">Sí</w:t>
            </w:r>
          </w:p>
        </w:tc>
        <w:tc>
          <w:tcPr>
            <w:tcW w:type="dxa" w:w="112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6"/>
                <w:szCs w:val="16"/>
              </w:rPr>
              <w:t xml:space="preserve">No</w:t>
            </w:r>
          </w:p>
        </w:tc>
      </w:tr>
      <w:tr>
        <w:trPr>
          <w:cantSplit/>
        </w:trPr>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Revisar independientemente</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No</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No</w:t>
            </w:r>
          </w:p>
        </w:tc>
        <w:tc>
          <w:tcPr>
            <w:tcW w:type="dxa" w:w="131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No</w:t>
            </w:r>
          </w:p>
        </w:tc>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No</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No</w:t>
            </w:r>
          </w:p>
        </w:tc>
        <w:tc>
          <w:tcPr>
            <w:tcW w:type="dxa" w:w="112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Sí</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2E7D32" w:sz="4"/>
              <w:left w:val="single" w:color="2E7D32" w:sz="24"/>
              <w:bottom w:val="single" w:color="2E7D32" w:sz="4"/>
              <w:right w:val="single" w:color="2E7D32" w:sz="4"/>
            </w:tcBorders>
            <w:shd w:fill="E8F5E9" w:color="auto" w:val="clear"/>
            <w:tcMar>
              <w:top w:type="dxa" w:w="100"/>
              <w:left w:type="dxa" w:w="180"/>
              <w:bottom w:type="dxa" w:w="100"/>
              <w:right w:type="dxa" w:w="180"/>
            </w:tcMar>
          </w:tcPr>
          <w:p>
            <w:pPr>
              <w:spacing w:after="60"/>
            </w:pPr>
            <w:r>
              <w:rPr>
                <w:b/>
                <w:bCs/>
                <w:color w:val="2E7D32"/>
                <w:sz w:val="20"/>
                <w:szCs w:val="20"/>
              </w:rPr>
              <w:t xml:space="preserve">Referencia normativa</w:t>
            </w:r>
          </w:p>
          <w:p>
            <w:pPr>
              <w:spacing w:after="50"/>
              <w:jc w:val="left"/>
            </w:pPr>
            <w:r>
              <w:rPr>
                <w:sz w:val="20"/>
                <w:szCs w:val="20"/>
              </w:rPr>
              <w:t xml:space="preserve">La NRP-17 (gobierno corporativo) y la NRP-20 (gestión integral de riesgos) establecen, para las entidades sujetas a ellas, responsabilidades de la Junta Directiva y la alta gerencia sobre el control interno y la gestión de riesgos. La NPB4-49 exige que las políticas de crédito cubran el tratamiento de excepciones. Los detalles de segregación y conservación documental deben definirse en las políticas institucionales conforme a la normativa aplicable a cada tipo de entidad.</w:t>
            </w:r>
          </w:p>
        </w:tc>
      </w:tr>
    </w:tbl>
    <w:p>
      <w:pPr>
        <w:spacing w:after="120"/>
      </w:pPr>
    </w:p>
    <w:p>
      <w:pPr>
        <w:pStyle w:val="Heading2"/>
        <w:keepNext/>
      </w:pPr>
      <w:r>
        <w:t xml:space="preserve">12.4 Prevención de decisiones sin sustento</w:t>
      </w:r>
    </w:p>
    <w:p>
      <w:pPr>
        <w:pStyle w:val="ListParagraph"/>
        <w:numPr>
          <w:ilvl w:val="0"/>
          <w:numId w:val="20"/>
        </w:numPr>
        <w:spacing w:after="60"/>
        <w:jc w:val="left"/>
      </w:pPr>
      <w:r>
        <w:rPr>
          <w:b/>
          <w:bCs/>
        </w:rPr>
        <w:t xml:space="preserve">Informe obligatorio antes de la decisión</w:t>
      </w:r>
      <w:r>
        <w:t xml:space="preserve">: ninguna operación se aprueba sin informe firmado.</w:t>
      </w:r>
    </w:p>
    <w:p>
      <w:pPr>
        <w:pStyle w:val="ListParagraph"/>
        <w:numPr>
          <w:ilvl w:val="0"/>
          <w:numId w:val="20"/>
        </w:numPr>
        <w:spacing w:after="60"/>
        <w:jc w:val="left"/>
      </w:pPr>
      <w:r>
        <w:rPr>
          <w:b/>
          <w:bCs/>
        </w:rPr>
        <w:t xml:space="preserve">Registro de excepciones</w:t>
      </w:r>
      <w:r>
        <w:t xml:space="preserve">: si se aprueba algo fuera de política, se documenta la excepción, quién la autorizó y con qué justificación.</w:t>
      </w:r>
    </w:p>
    <w:p>
      <w:pPr>
        <w:pStyle w:val="ListParagraph"/>
        <w:numPr>
          <w:ilvl w:val="0"/>
          <w:numId w:val="20"/>
        </w:numPr>
        <w:spacing w:after="60"/>
        <w:jc w:val="left"/>
      </w:pPr>
      <w:r>
        <w:rPr>
          <w:b/>
          <w:bCs/>
        </w:rPr>
        <w:t xml:space="preserve">Discrepancias analista–aprobador</w:t>
      </w:r>
      <w:r>
        <w:t xml:space="preserve">: si la decisión difiere de la recomendación, el acta debe explicar los motivos.</w:t>
      </w:r>
    </w:p>
    <w:p>
      <w:pPr>
        <w:pStyle w:val="ListParagraph"/>
        <w:numPr>
          <w:ilvl w:val="0"/>
          <w:numId w:val="20"/>
        </w:numPr>
        <w:spacing w:after="60"/>
        <w:jc w:val="left"/>
      </w:pPr>
      <w:r>
        <w:rPr>
          <w:b/>
          <w:bCs/>
        </w:rPr>
        <w:t xml:space="preserve">Bloqueo de cambios</w:t>
      </w:r>
      <w:r>
        <w:t xml:space="preserve">: una vez emitido el informe, los cambios se hacen mediante nueva versión, no sobrescribiendo.</w:t>
      </w:r>
    </w:p>
    <w:p>
      <w:pPr>
        <w:pStyle w:val="ListParagraph"/>
        <w:numPr>
          <w:ilvl w:val="0"/>
          <w:numId w:val="20"/>
        </w:numPr>
        <w:spacing w:after="60"/>
        <w:jc w:val="left"/>
      </w:pPr>
      <w:r>
        <w:rPr>
          <w:b/>
          <w:bCs/>
        </w:rPr>
        <w:t xml:space="preserve">Muestreo de calidad</w:t>
      </w:r>
      <w:r>
        <w:t xml:space="preserve">: revisión periódica de expedientes por un área independiente.</w:t>
      </w:r>
    </w:p>
    <w:p>
      <w:pPr>
        <w:pStyle w:val="Heading2"/>
        <w:keepNext/>
      </w:pPr>
      <w:r>
        <w:t xml:space="preserve">12.5 Prevención de pérdida de información</w:t>
      </w:r>
    </w:p>
    <w:p>
      <w:pPr>
        <w:pStyle w:val="ListParagraph"/>
        <w:numPr>
          <w:ilvl w:val="0"/>
          <w:numId w:val="21"/>
        </w:numPr>
        <w:spacing w:after="60"/>
        <w:jc w:val="left"/>
      </w:pPr>
      <w:r>
        <w:t xml:space="preserve">Digitalización con indexación y respaldo.</w:t>
      </w:r>
    </w:p>
    <w:p>
      <w:pPr>
        <w:pStyle w:val="ListParagraph"/>
        <w:numPr>
          <w:ilvl w:val="0"/>
          <w:numId w:val="21"/>
        </w:numPr>
        <w:spacing w:after="60"/>
        <w:jc w:val="left"/>
      </w:pPr>
      <w:r>
        <w:t xml:space="preserve">Control de préstamo de expedientes físicos (quién, cuándo, devolución).</w:t>
      </w:r>
    </w:p>
    <w:p>
      <w:pPr>
        <w:pStyle w:val="ListParagraph"/>
        <w:numPr>
          <w:ilvl w:val="0"/>
          <w:numId w:val="21"/>
        </w:numPr>
        <w:spacing w:after="60"/>
        <w:jc w:val="left"/>
      </w:pPr>
      <w:r>
        <w:t xml:space="preserve">Accesos por perfil en sistemas; registro de consultas.</w:t>
      </w:r>
    </w:p>
    <w:p>
      <w:pPr>
        <w:pStyle w:val="ListParagraph"/>
        <w:numPr>
          <w:ilvl w:val="0"/>
          <w:numId w:val="21"/>
        </w:numPr>
        <w:spacing w:after="60"/>
        <w:jc w:val="left"/>
      </w:pPr>
      <w:r>
        <w:t xml:space="preserve">Protección de datos personales conforme a la Ley para la Protección de Datos Personales y la política de seguridad de la información.</w:t>
      </w:r>
    </w:p>
    <w:p>
      <w:pPr>
        <w:keepNext w:val="false"/>
        <w:spacing w:after="120" w:before="0"/>
        <w:jc w:val="both"/>
      </w:pPr>
      <w:r>
        <w:t xml:space="preserve">El </w:t>
      </w:r>
      <w:r>
        <w:rPr>
          <w:b/>
          <w:bCs/>
        </w:rPr>
        <w:t xml:space="preserve">Anexo K</w:t>
      </w:r>
      <w:r>
        <w:t xml:space="preserve"> contiene una matriz de documentación y trazabilidad lista para adaptar.</w:t>
      </w:r>
    </w:p>
    <w:p>
      <w:pPr>
        <w:pStyle w:val="Heading1"/>
        <w:pageBreakBefore/>
      </w:pPr>
      <w:r>
        <w:t xml:space="preserve">Capítulo 13. Decisión, formalización y desembolso</w:t>
      </w:r>
    </w:p>
    <w:p>
      <w:pPr>
        <w:keepNext w:val="false"/>
        <w:spacing w:after="120" w:before="0"/>
        <w:jc w:val="both"/>
      </w:pPr>
      <w:r>
        <w:rPr>
          <w:i/>
          <w:iCs/>
        </w:rPr>
        <w:t xml:space="preserve">Complementa el apartado original 9: «Documentación del proceso de evaluación crediticia».</w:t>
      </w:r>
    </w:p>
    <w:p>
      <w:pPr>
        <w:pStyle w:val="Heading2"/>
        <w:keepNext/>
      </w:pPr>
      <w:r>
        <w:t xml:space="preserve">13.1 Cuatro actos distintos</w:t>
      </w:r>
    </w:p>
    <w:p>
      <w:pPr>
        <w:keepNext/>
        <w:spacing w:after="60" w:before="120"/>
      </w:pPr>
      <w:r>
        <w:rPr>
          <w:b/>
          <w:bCs/>
          <w:color w:val="1F3864"/>
          <w:sz w:val="19"/>
          <w:szCs w:val="19"/>
        </w:rPr>
        <w:t xml:space="preserve">Tabla 13.1. Diferencias entre recomendar, aprobar, formalizar y desembolsar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3182"/>
        <w:gridCol w:w="2808"/>
        <w:gridCol w:w="2060"/>
      </w:tblGrid>
      <w:tr>
        <w:trPr>
          <w:cantSplit/>
          <w:tblHeader/>
        </w:trPr>
        <w:tc>
          <w:tcPr>
            <w:tcW w:type="dxa" w:w="131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Acto</w:t>
            </w:r>
          </w:p>
        </w:tc>
        <w:tc>
          <w:tcPr>
            <w:tcW w:type="dxa" w:w="318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Qué es</w:t>
            </w:r>
          </w:p>
        </w:tc>
        <w:tc>
          <w:tcPr>
            <w:tcW w:type="dxa" w:w="2808"/>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Quién lo realiza (ilustrativo)</w:t>
            </w:r>
          </w:p>
        </w:tc>
        <w:tc>
          <w:tcPr>
            <w:tcW w:type="dxa" w:w="206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Evidencia</w:t>
            </w:r>
          </w:p>
        </w:tc>
      </w:tr>
      <w:tr>
        <w:trPr>
          <w:cantSplit/>
        </w:trPr>
        <w:tc>
          <w:tcPr>
            <w:tcW w:type="dxa" w:w="131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Recomendar</w:t>
            </w:r>
          </w:p>
        </w:tc>
        <w:tc>
          <w:tcPr>
            <w:tcW w:type="dxa" w:w="318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Opinión técnica sustentada sobre la viabilidad de la operación.</w:t>
            </w:r>
          </w:p>
        </w:tc>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Analista de crédito.</w:t>
            </w:r>
          </w:p>
        </w:tc>
        <w:tc>
          <w:tcPr>
            <w:tcW w:type="dxa" w:w="206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Informe firmado.</w:t>
            </w:r>
          </w:p>
        </w:tc>
      </w:tr>
      <w:tr>
        <w:trPr>
          <w:cantSplit/>
        </w:trPr>
        <w:tc>
          <w:tcPr>
            <w:tcW w:type="dxa" w:w="131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Aprobar</w:t>
            </w:r>
          </w:p>
        </w:tc>
        <w:tc>
          <w:tcPr>
            <w:tcW w:type="dxa" w:w="318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Decisión formal de conceder el crédito, en condiciones determinadas.</w:t>
            </w:r>
          </w:p>
        </w:tc>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Instancia con facultades delegadas por la política (funcionario, comité, Junta Directiva).</w:t>
            </w:r>
          </w:p>
        </w:tc>
        <w:tc>
          <w:tcPr>
            <w:tcW w:type="dxa" w:w="206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Resolución o acta.</w:t>
            </w:r>
          </w:p>
        </w:tc>
      </w:tr>
      <w:tr>
        <w:trPr>
          <w:cantSplit/>
        </w:trPr>
        <w:tc>
          <w:tcPr>
            <w:tcW w:type="dxa" w:w="131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Formalizar</w:t>
            </w:r>
          </w:p>
        </w:tc>
        <w:tc>
          <w:tcPr>
            <w:tcW w:type="dxa" w:w="318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Instrumentar jurídicamente la operación: contratos, garantías, inscripciones.</w:t>
            </w:r>
          </w:p>
        </w:tc>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Área legal / notario.</w:t>
            </w:r>
          </w:p>
        </w:tc>
        <w:tc>
          <w:tcPr>
            <w:tcW w:type="dxa" w:w="206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Contratos, escrituras, constancias registrales.</w:t>
            </w:r>
          </w:p>
        </w:tc>
      </w:tr>
      <w:tr>
        <w:trPr>
          <w:cantSplit/>
        </w:trPr>
        <w:tc>
          <w:tcPr>
            <w:tcW w:type="dxa" w:w="131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Desembolsar</w:t>
            </w:r>
          </w:p>
        </w:tc>
        <w:tc>
          <w:tcPr>
            <w:tcW w:type="dxa" w:w="318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Entregar los fondos tras verificar el cumplimiento de condiciones.</w:t>
            </w:r>
          </w:p>
        </w:tc>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Área de operaciones.</w:t>
            </w:r>
          </w:p>
        </w:tc>
        <w:tc>
          <w:tcPr>
            <w:tcW w:type="dxa" w:w="206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Lista previa al desembolso, comprobante de desembolso.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77C02" w:sz="4"/>
              <w:left w:val="single" w:color="C77C02" w:sz="24"/>
              <w:bottom w:val="single" w:color="C77C02" w:sz="4"/>
              <w:right w:val="single" w:color="C77C02" w:sz="4"/>
            </w:tcBorders>
            <w:shd w:fill="FFF4E0" w:color="auto" w:val="clear"/>
            <w:tcMar>
              <w:top w:type="dxa" w:w="100"/>
              <w:left w:type="dxa" w:w="180"/>
              <w:bottom w:type="dxa" w:w="100"/>
              <w:right w:type="dxa" w:w="180"/>
            </w:tcMar>
          </w:tcPr>
          <w:p>
            <w:pPr>
              <w:spacing w:after="60"/>
            </w:pPr>
            <w:r>
              <w:rPr>
                <w:b/>
                <w:bCs/>
                <w:color w:val="C77C02"/>
                <w:sz w:val="20"/>
                <w:szCs w:val="20"/>
              </w:rPr>
              <w:t xml:space="preserve">Nota metodológica</w:t>
            </w:r>
          </w:p>
          <w:p>
            <w:pPr>
              <w:spacing w:after="50"/>
              <w:jc w:val="left"/>
            </w:pPr>
            <w:r>
              <w:rPr>
                <w:sz w:val="20"/>
                <w:szCs w:val="20"/>
              </w:rPr>
              <w:t xml:space="preserve">Esta guía </w:t>
            </w:r>
            <w:r>
              <w:rPr>
                <w:b/>
                <w:bCs/>
                <w:sz w:val="20"/>
                <w:szCs w:val="20"/>
              </w:rPr>
              <w:t xml:space="preserve">no atribuye facultades de aprobación</w:t>
            </w:r>
            <w:r>
              <w:rPr>
                <w:sz w:val="20"/>
                <w:szCs w:val="20"/>
              </w:rPr>
              <w:t xml:space="preserve">. Los niveles de autorización (montos, tipos de operación, excepciones) deben estar definidos en las políticas y delegaciones aprobadas por cada institución. Las operaciones con partes relacionadas pueden estar sujetas a reglas especiales según la ley y la normativa aplicable a cada entidad.</w:t>
            </w:r>
          </w:p>
        </w:tc>
      </w:tr>
    </w:tbl>
    <w:p>
      <w:pPr>
        <w:spacing w:after="120"/>
      </w:pPr>
    </w:p>
    <w:p>
      <w:pPr>
        <w:pStyle w:val="Heading2"/>
        <w:keepNext/>
      </w:pPr>
      <w:r>
        <w:t xml:space="preserve">13.2 Revisión previa a la aprobación</w:t>
      </w:r>
    </w:p>
    <w:p>
      <w:pPr>
        <w:pStyle w:val="ListParagraph"/>
        <w:numPr>
          <w:ilvl w:val="0"/>
          <w:numId w:val="22"/>
        </w:numPr>
        <w:spacing w:after="60"/>
        <w:jc w:val="left"/>
      </w:pPr>
      <w:r>
        <w:t xml:space="preserve">Informe completo, firmado, con recomendación clara.</w:t>
      </w:r>
    </w:p>
    <w:p>
      <w:pPr>
        <w:pStyle w:val="ListParagraph"/>
        <w:numPr>
          <w:ilvl w:val="0"/>
          <w:numId w:val="22"/>
        </w:numPr>
        <w:spacing w:after="60"/>
        <w:jc w:val="left"/>
      </w:pPr>
      <w:r>
        <w:t xml:space="preserve">Verificación de que el monto y el tipo de operación están dentro de las facultades de la instancia.</w:t>
      </w:r>
    </w:p>
    <w:p>
      <w:pPr>
        <w:pStyle w:val="ListParagraph"/>
        <w:numPr>
          <w:ilvl w:val="0"/>
          <w:numId w:val="22"/>
        </w:numPr>
        <w:spacing w:after="60"/>
        <w:jc w:val="left"/>
      </w:pPr>
      <w:r>
        <w:t xml:space="preserve">Riesgos críticos identificados y tratados.</w:t>
      </w:r>
    </w:p>
    <w:p>
      <w:pPr>
        <w:pStyle w:val="ListParagraph"/>
        <w:numPr>
          <w:ilvl w:val="0"/>
          <w:numId w:val="22"/>
        </w:numPr>
        <w:spacing w:after="60"/>
        <w:jc w:val="left"/>
      </w:pPr>
      <w:r>
        <w:t xml:space="preserve">Debida diligencia de cumplimiento concluida.</w:t>
      </w:r>
    </w:p>
    <w:p>
      <w:pPr>
        <w:pStyle w:val="ListParagraph"/>
        <w:numPr>
          <w:ilvl w:val="0"/>
          <w:numId w:val="22"/>
        </w:numPr>
        <w:spacing w:after="60"/>
        <w:jc w:val="left"/>
      </w:pPr>
      <w:r>
        <w:t xml:space="preserve">Condiciones propuestas claras y verificables.</w:t>
      </w:r>
    </w:p>
    <w:p>
      <w:pPr>
        <w:keepNext w:val="false"/>
        <w:spacing w:after="120" w:before="0"/>
        <w:jc w:val="both"/>
      </w:pPr>
      <w:r>
        <w:t xml:space="preserve">El </w:t>
      </w:r>
      <w:r>
        <w:rPr>
          <w:b/>
          <w:bCs/>
        </w:rPr>
        <w:t xml:space="preserve">Anexo H</w:t>
      </w:r>
      <w:r>
        <w:t xml:space="preserve"> presenta la lista de verificación previa a la aprobación.</w:t>
      </w:r>
    </w:p>
    <w:p>
      <w:pPr>
        <w:pStyle w:val="Heading2"/>
        <w:keepNext/>
      </w:pPr>
      <w:r>
        <w:t xml:space="preserve">13.3 Revisión previa a la formalización</w:t>
      </w:r>
    </w:p>
    <w:p>
      <w:pPr>
        <w:pStyle w:val="ListParagraph"/>
        <w:numPr>
          <w:ilvl w:val="0"/>
          <w:numId w:val="23"/>
        </w:numPr>
        <w:spacing w:after="60"/>
        <w:jc w:val="left"/>
      </w:pPr>
      <w:r>
        <w:t xml:space="preserve">Las condiciones del contrato coinciden con las aprobadas (monto, plazo, tasa, cuota, garantías).</w:t>
      </w:r>
    </w:p>
    <w:p>
      <w:pPr>
        <w:pStyle w:val="ListParagraph"/>
        <w:numPr>
          <w:ilvl w:val="0"/>
          <w:numId w:val="23"/>
        </w:numPr>
        <w:spacing w:after="60"/>
        <w:jc w:val="left"/>
      </w:pPr>
      <w:r>
        <w:t xml:space="preserve">La tasa pactada no supera la tasa máxima legal vigente para el segmento y monto.</w:t>
      </w:r>
    </w:p>
    <w:p>
      <w:pPr>
        <w:pStyle w:val="ListParagraph"/>
        <w:numPr>
          <w:ilvl w:val="0"/>
          <w:numId w:val="23"/>
        </w:numPr>
        <w:spacing w:after="60"/>
        <w:jc w:val="left"/>
      </w:pPr>
      <w:r>
        <w:t xml:space="preserve">Se entregó al cliente la información exigida por la normativa de transparencia y protección al consumidor.</w:t>
      </w:r>
    </w:p>
    <w:p>
      <w:pPr>
        <w:pStyle w:val="ListParagraph"/>
        <w:numPr>
          <w:ilvl w:val="0"/>
          <w:numId w:val="23"/>
        </w:numPr>
        <w:spacing w:after="60"/>
        <w:jc w:val="left"/>
      </w:pPr>
      <w:r>
        <w:t xml:space="preserve">Poderes y representaciones vigentes; firmas de todos los obligados (deudor, codeudores, fiadores).</w:t>
      </w:r>
    </w:p>
    <w:p>
      <w:pPr>
        <w:pStyle w:val="ListParagraph"/>
        <w:numPr>
          <w:ilvl w:val="0"/>
          <w:numId w:val="23"/>
        </w:numPr>
        <w:spacing w:after="60"/>
        <w:jc w:val="left"/>
      </w:pPr>
      <w:r>
        <w:t xml:space="preserve">Garantías constituidas conforme a derecho y presentadas para inscripción.</w:t>
      </w:r>
    </w:p>
    <w:p>
      <w:pPr>
        <w:pStyle w:val="Heading2"/>
        <w:keepNext/>
      </w:pPr>
      <w:r>
        <w:t xml:space="preserve">13.4 Controles previos al desembolso</w:t>
      </w:r>
    </w:p>
    <w:p>
      <w:pPr>
        <w:pStyle w:val="ListParagraph"/>
        <w:numPr>
          <w:ilvl w:val="0"/>
          <w:numId w:val="24"/>
        </w:numPr>
        <w:spacing w:after="60"/>
        <w:jc w:val="left"/>
      </w:pPr>
      <w:r>
        <w:t xml:space="preserve">Verificar que </w:t>
      </w:r>
      <w:r>
        <w:rPr>
          <w:b/>
          <w:bCs/>
        </w:rPr>
        <w:t xml:space="preserve">todas las condiciones previas</w:t>
      </w:r>
      <w:r>
        <w:t xml:space="preserve"> se cumplieron, con evidencia.</w:t>
      </w:r>
    </w:p>
    <w:p>
      <w:pPr>
        <w:pStyle w:val="ListParagraph"/>
        <w:numPr>
          <w:ilvl w:val="0"/>
          <w:numId w:val="24"/>
        </w:numPr>
        <w:spacing w:after="60"/>
        <w:jc w:val="left"/>
      </w:pPr>
      <w:r>
        <w:t xml:space="preserve">Confirmar la </w:t>
      </w:r>
      <w:r>
        <w:rPr>
          <w:b/>
          <w:bCs/>
        </w:rPr>
        <w:t xml:space="preserve">inscripción o presentación</w:t>
      </w:r>
      <w:r>
        <w:t xml:space="preserve"> de las garantías según política.</w:t>
      </w:r>
    </w:p>
    <w:p>
      <w:pPr>
        <w:pStyle w:val="ListParagraph"/>
        <w:numPr>
          <w:ilvl w:val="0"/>
          <w:numId w:val="24"/>
        </w:numPr>
        <w:spacing w:after="60"/>
        <w:jc w:val="left"/>
      </w:pPr>
      <w:r>
        <w:t xml:space="preserve">Verificar </w:t>
      </w:r>
      <w:r>
        <w:rPr>
          <w:b/>
          <w:bCs/>
        </w:rPr>
        <w:t xml:space="preserve">seguros</w:t>
      </w:r>
      <w:r>
        <w:t xml:space="preserve"> contratados y endosados cuando se requieran.</w:t>
      </w:r>
    </w:p>
    <w:p>
      <w:pPr>
        <w:pStyle w:val="ListParagraph"/>
        <w:numPr>
          <w:ilvl w:val="0"/>
          <w:numId w:val="24"/>
        </w:numPr>
        <w:spacing w:after="60"/>
        <w:jc w:val="left"/>
      </w:pPr>
      <w:r>
        <w:t xml:space="preserve">Validar la </w:t>
      </w:r>
      <w:r>
        <w:rPr>
          <w:b/>
          <w:bCs/>
        </w:rPr>
        <w:t xml:space="preserve">cuenta de destino</w:t>
      </w:r>
      <w:r>
        <w:t xml:space="preserve"> del desembolso y, cuando el destino lo exija, pagar directamente al proveedor o al acreedor a cancelar.</w:t>
      </w:r>
    </w:p>
    <w:p>
      <w:pPr>
        <w:pStyle w:val="ListParagraph"/>
        <w:numPr>
          <w:ilvl w:val="0"/>
          <w:numId w:val="24"/>
        </w:numPr>
        <w:spacing w:after="60"/>
        <w:jc w:val="left"/>
      </w:pPr>
      <w:r>
        <w:t xml:space="preserve">Confirmar que </w:t>
      </w:r>
      <w:r>
        <w:rPr>
          <w:b/>
          <w:bCs/>
        </w:rPr>
        <w:t xml:space="preserve">no cambió</w:t>
      </w:r>
      <w:r>
        <w:t xml:space="preserve"> la situación del cliente entre la aprobación y el desembolso (nueva consulta si el lapso supera lo que fije la política).</w:t>
      </w:r>
    </w:p>
    <w:p>
      <w:pPr>
        <w:pStyle w:val="ListParagraph"/>
        <w:numPr>
          <w:ilvl w:val="0"/>
          <w:numId w:val="24"/>
        </w:numPr>
        <w:spacing w:after="60"/>
        <w:jc w:val="left"/>
      </w:pPr>
      <w:r>
        <w:t xml:space="preserve">Registrar la operación en el sistema con datos </w:t>
      </w:r>
      <w:r>
        <w:rPr>
          <w:b/>
          <w:bCs/>
        </w:rPr>
        <w:t xml:space="preserve">idénticos</w:t>
      </w:r>
      <w:r>
        <w:t xml:space="preserve"> a los aprobados (doble control).</w:t>
      </w:r>
    </w:p>
    <w:p>
      <w:pPr>
        <w:keepNext w:val="false"/>
        <w:spacing w:after="120" w:before="0"/>
        <w:jc w:val="both"/>
      </w:pPr>
      <w:r>
        <w:t xml:space="preserve">El </w:t>
      </w:r>
      <w:r>
        <w:rPr>
          <w:b/>
          <w:bCs/>
        </w:rPr>
        <w:t xml:space="preserve">Anexo I</w:t>
      </w:r>
      <w:r>
        <w:t xml:space="preserve"> contiene la lista de verificación previa al desembolso.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B23B2A" w:sz="4"/>
              <w:left w:val="single" w:color="B23B2A" w:sz="24"/>
              <w:bottom w:val="single" w:color="B23B2A" w:sz="4"/>
              <w:right w:val="single" w:color="B23B2A" w:sz="4"/>
            </w:tcBorders>
            <w:shd w:fill="FBE9E7" w:color="auto" w:val="clear"/>
            <w:tcMar>
              <w:top w:type="dxa" w:w="100"/>
              <w:left w:type="dxa" w:w="180"/>
              <w:bottom w:type="dxa" w:w="100"/>
              <w:right w:type="dxa" w:w="180"/>
            </w:tcMar>
          </w:tcPr>
          <w:p>
            <w:pPr>
              <w:spacing w:after="60"/>
            </w:pPr>
            <w:r>
              <w:rPr>
                <w:b/>
                <w:bCs/>
                <w:color w:val="B23B2A"/>
                <w:sz w:val="20"/>
                <w:szCs w:val="20"/>
              </w:rPr>
              <w:t xml:space="preserve">Señal de alerta / error que debe evitarse</w:t>
            </w:r>
          </w:p>
          <w:p>
            <w:pPr>
              <w:spacing w:after="50"/>
              <w:jc w:val="left"/>
            </w:pPr>
            <w:r>
              <w:rPr>
                <w:sz w:val="20"/>
                <w:szCs w:val="20"/>
              </w:rPr>
              <w:t xml:space="preserve">Desembolsar con condiciones pendientes «que se completarán después» convierte una condición en una promesa. Si la política permite excepciones, deben estar autorizadas, registradas y tener fecha de cumplimiento y responsable.</w:t>
            </w:r>
          </w:p>
        </w:tc>
      </w:tr>
    </w:tbl>
    <w:p>
      <w:pPr>
        <w:spacing w:after="120"/>
      </w:pPr>
    </w:p>
    <w:p>
      <w:pPr>
        <w:pStyle w:val="Heading1"/>
        <w:pageBreakBefore/>
      </w:pPr>
      <w:r>
        <w:t xml:space="preserve">Capítulo 14. Seguimiento y revisión del desempeño crediticio</w:t>
      </w:r>
    </w:p>
    <w:p>
      <w:pPr>
        <w:keepNext w:val="false"/>
        <w:spacing w:after="120" w:before="0"/>
        <w:jc w:val="both"/>
      </w:pPr>
      <w:r>
        <w:rPr>
          <w:i/>
          <w:iCs/>
        </w:rPr>
        <w:t xml:space="preserve">Desarrolla el apartado original 10: «Seguimiento y revisión del desempeño crediticio del prestatario».</w:t>
      </w:r>
    </w:p>
    <w:p>
      <w:pPr>
        <w:pStyle w:val="Heading2"/>
        <w:keepNext/>
      </w:pPr>
      <w:r>
        <w:t xml:space="preserve">14.1 Por qué el seguimiento es parte de la evaluación</w:t>
      </w:r>
    </w:p>
    <w:p>
      <w:pPr>
        <w:keepNext w:val="false"/>
        <w:spacing w:after="120" w:before="0"/>
        <w:jc w:val="both"/>
      </w:pPr>
      <w:r>
        <w:t xml:space="preserve">La evaluación no termina con el desembolso. Las condiciones del deudor cambian: puede perder ingresos, contraer nuevas deudas o enfrentar imprevistos. El seguimiento permite </w:t>
      </w:r>
      <w:r>
        <w:rPr>
          <w:b/>
          <w:bCs/>
        </w:rPr>
        <w:t xml:space="preserve">detectar el deterioro a tiempo</w:t>
      </w:r>
      <w:r>
        <w:t xml:space="preserve">, cuando todavía hay opciones de solución, y </w:t>
      </w:r>
      <w:r>
        <w:rPr>
          <w:b/>
          <w:bCs/>
        </w:rPr>
        <w:t xml:space="preserve">retroalimentar</w:t>
      </w:r>
      <w:r>
        <w:t xml:space="preserve"> la metodología de originación. Para las entidades sujetas a la NPB4-49, las políticas de crédito deben cubrir el seguimiento, la cobranza y la recuperación.</w:t>
      </w:r>
    </w:p>
    <w:p>
      <w:pPr>
        <w:pStyle w:val="Heading2"/>
        <w:keepNext/>
      </w:pPr>
      <w:r>
        <w:t xml:space="preserve">14.2 Qué se monitorea</w:t>
      </w:r>
    </w:p>
    <w:p>
      <w:pPr>
        <w:keepNext/>
        <w:spacing w:after="60" w:before="120"/>
      </w:pPr>
      <w:r>
        <w:rPr>
          <w:b/>
          <w:bCs/>
          <w:color w:val="1F3864"/>
          <w:sz w:val="19"/>
          <w:szCs w:val="19"/>
        </w:rPr>
        <w:t xml:space="preserve">Tabla 14.1. Ámbitos de seguimiento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3"/>
        <w:gridCol w:w="4680"/>
        <w:gridCol w:w="2247"/>
      </w:tblGrid>
      <w:tr>
        <w:trPr>
          <w:cantSplit/>
          <w:tblHeader/>
        </w:trPr>
        <w:tc>
          <w:tcPr>
            <w:tcW w:type="dxa" w:w="2433"/>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Ámbito</w:t>
            </w:r>
          </w:p>
        </w:tc>
        <w:tc>
          <w:tcPr>
            <w:tcW w:type="dxa" w:w="468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Qué observar</w:t>
            </w:r>
          </w:p>
        </w:tc>
        <w:tc>
          <w:tcPr>
            <w:tcW w:type="dxa" w:w="2247"/>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Frecuencia sugerida</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Cumplimiento de cuotas</w:t>
            </w:r>
          </w:p>
        </w:tc>
        <w:tc>
          <w:tcPr>
            <w:tcW w:type="dxa" w:w="468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Pagos puntuales, parciales o atrasados.</w:t>
            </w:r>
          </w:p>
        </w:tc>
        <w:tc>
          <w:tcPr>
            <w:tcW w:type="dxa" w:w="224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Diaria / mensual</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Atrasos</w:t>
            </w:r>
          </w:p>
        </w:tc>
        <w:tc>
          <w:tcPr>
            <w:tcW w:type="dxa" w:w="468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Días de atraso y tendencia.</w:t>
            </w:r>
          </w:p>
        </w:tc>
        <w:tc>
          <w:tcPr>
            <w:tcW w:type="dxa" w:w="224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Diaria</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Deterioro de ingresos</w:t>
            </w:r>
          </w:p>
        </w:tc>
        <w:tc>
          <w:tcPr>
            <w:tcW w:type="dxa" w:w="468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Disminución de abonos de nómina o depósitos del negocio.</w:t>
            </w:r>
          </w:p>
        </w:tc>
        <w:tc>
          <w:tcPr>
            <w:tcW w:type="dxa" w:w="224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Mensual (si hay cuenta en la institución)</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Cambios en obligaciones</w:t>
            </w:r>
          </w:p>
        </w:tc>
        <w:tc>
          <w:tcPr>
            <w:tcW w:type="dxa" w:w="468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Nuevas deudas en el historial crediticio.</w:t>
            </w:r>
          </w:p>
        </w:tc>
        <w:tc>
          <w:tcPr>
            <w:tcW w:type="dxa" w:w="224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Trimestral o semestral, según política y autorización</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Revisiones financieras</w:t>
            </w:r>
          </w:p>
        </w:tc>
        <w:tc>
          <w:tcPr>
            <w:tcW w:type="dxa" w:w="468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Estados financieros actualizados de empresas.</w:t>
            </w:r>
          </w:p>
        </w:tc>
        <w:tc>
          <w:tcPr>
            <w:tcW w:type="dxa" w:w="224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Anual o según monto</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Garantías</w:t>
            </w:r>
          </w:p>
        </w:tc>
        <w:tc>
          <w:tcPr>
            <w:tcW w:type="dxa" w:w="468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Vigencia de seguros, estado del bien, revaluaciones.</w:t>
            </w:r>
          </w:p>
        </w:tc>
        <w:tc>
          <w:tcPr>
            <w:tcW w:type="dxa" w:w="224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Anual o según tipo de bien</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Condiciones de aprobación</w:t>
            </w:r>
          </w:p>
        </w:tc>
        <w:tc>
          <w:tcPr>
            <w:tcW w:type="dxa" w:w="468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Cumplimiento de condiciones posteriores (por ejemplo, entrega de documentos).</w:t>
            </w:r>
          </w:p>
        </w:tc>
        <w:tc>
          <w:tcPr>
            <w:tcW w:type="dxa" w:w="224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En la fecha pactada</w:t>
            </w:r>
          </w:p>
        </w:tc>
      </w:tr>
    </w:tbl>
    <w:p>
      <w:pPr>
        <w:spacing w:after="120"/>
      </w:pPr>
    </w:p>
    <w:p>
      <w:pPr>
        <w:pStyle w:val="Heading2"/>
        <w:keepNext/>
      </w:pPr>
      <w:r>
        <w:t xml:space="preserve">14.3 Indicadores de seguimiento</w:t>
      </w:r>
    </w:p>
    <w:p>
      <w:pPr>
        <w:keepNext/>
        <w:spacing w:after="60" w:before="120"/>
      </w:pPr>
      <w:r>
        <w:rPr>
          <w:b/>
          <w:bCs/>
          <w:color w:val="1F3864"/>
          <w:sz w:val="19"/>
          <w:szCs w:val="19"/>
        </w:rPr>
        <w:t xml:space="preserve">Ficha 14.1. Índice de mora de la cartera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3"/>
        <w:gridCol w:w="6927"/>
      </w:tblGrid>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Definición</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Porcentaje de la cartera con atrasos superiores a un número de días definido.</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9"/>
                <w:szCs w:val="19"/>
              </w:rPr>
              <w:t xml:space="preserve">Para qué sirve</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9"/>
                <w:szCs w:val="19"/>
              </w:rPr>
              <w:t xml:space="preserve">Mide la calidad de la cartera de un producto, agencia o analista.</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Cómo se aplica</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Se calcula a fin de mes con los saldos de capital.</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9"/>
                <w:szCs w:val="19"/>
              </w:rPr>
              <w:t xml:space="preserve">Fórmula</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9"/>
                <w:szCs w:val="19"/>
              </w:rPr>
              <w:t xml:space="preserve">Índice de mora = Saldo de créditos con atraso &gt; X días ÷ Saldo total de cartera × 100</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Ejemplo</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Saldo con atraso &gt; 30 días US$85,000; cartera total US$2,400,000 → 85,000 ÷ 2,400,000 × 100 = </w:t>
            </w:r>
            <w:r>
              <w:rPr>
                <w:b/>
                <w:bCs/>
                <w:sz w:val="19"/>
                <w:szCs w:val="19"/>
              </w:rPr>
              <w:t xml:space="preserve">3.54 %</w:t>
            </w:r>
            <w:r>
              <w:rPr>
                <w:b w:val="false"/>
                <w:bCs w:val="false"/>
                <w:sz w:val="19"/>
                <w:szCs w:val="19"/>
              </w:rPr>
              <w:t xml:space="preserve">.</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9"/>
                <w:szCs w:val="19"/>
              </w:rPr>
              <w:t xml:space="preserve">Interpretación</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9"/>
                <w:szCs w:val="19"/>
              </w:rPr>
              <w:t xml:space="preserve">3.54 de cada 100 dólares prestados tienen atraso relevante.</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Limitaciones / errores a evitar</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Comparar índices con distintos umbrales de días; ignorar que el crecimiento de la cartera diluye el índice.</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b/>
                <w:bCs/>
                <w:sz w:val="19"/>
                <w:szCs w:val="19"/>
              </w:rPr>
              <w:t xml:space="preserve">Influencia en la decisión</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b w:val="false"/>
                <w:bCs w:val="false"/>
                <w:sz w:val="19"/>
                <w:szCs w:val="19"/>
              </w:rPr>
              <w:t xml:space="preserve">Un aumento sostenido obliga a revisar criterios de originación del segmento afectado.</w:t>
            </w:r>
          </w:p>
        </w:tc>
      </w:tr>
    </w:tbl>
    <w:p>
      <w:pPr>
        <w:spacing w:after="120"/>
      </w:pPr>
    </w:p>
    <w:p>
      <w:pPr>
        <w:keepNext/>
        <w:spacing w:after="60" w:before="120"/>
      </w:pPr>
      <w:r>
        <w:rPr>
          <w:b/>
          <w:bCs/>
          <w:color w:val="1F3864"/>
          <w:sz w:val="19"/>
          <w:szCs w:val="19"/>
        </w:rPr>
        <w:t xml:space="preserve">Ficha 14.2. Tasa de transición (roll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3"/>
        <w:gridCol w:w="6927"/>
      </w:tblGrid>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Definición</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Porcentaje de créditos que pasan de un tramo de atraso al siguiente entre un mes y otro.</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9"/>
                <w:szCs w:val="19"/>
              </w:rPr>
              <w:t xml:space="preserve">Para qué sirve</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9"/>
                <w:szCs w:val="19"/>
              </w:rPr>
              <w:t xml:space="preserve">Anticipa la mora futura y mide la eficacia de la cobranza temprana.</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Cómo se aplica</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Se comparan los créditos de un tramo en el mes anterior con su situación en el mes actual.</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9"/>
                <w:szCs w:val="19"/>
              </w:rPr>
              <w:t xml:space="preserve">Fórmula</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9"/>
                <w:szCs w:val="19"/>
              </w:rPr>
              <w:t xml:space="preserve">Transición = Créditos que pasaron del tramo A al tramo B ÷ Créditos en el tramo A el mes anterior × 100</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Ejemplo</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En agosto 200 créditos tenían 1–30 días de atraso; en septiembre 36 de ellos pasaron a 31–60 días → 36 ÷ 200 × 100 = </w:t>
            </w:r>
            <w:r>
              <w:rPr>
                <w:b/>
                <w:bCs/>
                <w:sz w:val="19"/>
                <w:szCs w:val="19"/>
              </w:rPr>
              <w:t xml:space="preserve">18 %</w:t>
            </w:r>
            <w:r>
              <w:rPr>
                <w:b w:val="false"/>
                <w:bCs w:val="false"/>
                <w:sz w:val="19"/>
                <w:szCs w:val="19"/>
              </w:rPr>
              <w:t xml:space="preserve">.</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9"/>
                <w:szCs w:val="19"/>
              </w:rPr>
              <w:t xml:space="preserve">Interpretación</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9"/>
                <w:szCs w:val="19"/>
              </w:rPr>
              <w:t xml:space="preserve">Casi uno de cada cinco atrasos tempranos empeora. Si el promedio histórico era 12 %, hay deterioro.</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Limitaciones / errores a evitar</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No separar por producto; usar períodos muy cortos.</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b/>
                <w:bCs/>
                <w:sz w:val="19"/>
                <w:szCs w:val="19"/>
              </w:rPr>
              <w:t xml:space="preserve">Influencia en la decisión</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b w:val="false"/>
                <w:bCs w:val="false"/>
                <w:sz w:val="19"/>
                <w:szCs w:val="19"/>
              </w:rPr>
              <w:t xml:space="preserve">Refuerza la gestión preventiva en el tramo temprano.</w:t>
            </w:r>
          </w:p>
        </w:tc>
      </w:tr>
    </w:tbl>
    <w:p>
      <w:pPr>
        <w:spacing w:after="120"/>
      </w:pPr>
    </w:p>
    <w:p>
      <w:pPr>
        <w:keepNext/>
        <w:spacing w:after="60" w:before="120"/>
      </w:pPr>
      <w:r>
        <w:rPr>
          <w:b/>
          <w:bCs/>
          <w:color w:val="1F3864"/>
          <w:sz w:val="19"/>
          <w:szCs w:val="19"/>
        </w:rPr>
        <w:t xml:space="preserve">Ficha 14.3. Análisis de cosechas (vintage)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3"/>
        <w:gridCol w:w="6927"/>
      </w:tblGrid>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Definición</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Seguimiento del comportamiento de los créditos agrupados por mes de desembolso.</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9"/>
                <w:szCs w:val="19"/>
              </w:rPr>
              <w:t xml:space="preserve">Para qué sirve</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9"/>
                <w:szCs w:val="19"/>
              </w:rPr>
              <w:t xml:space="preserve">Permite saber si los créditos originados con un criterio nuevo se comportan mejor o peor.</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Cómo se aplica</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Se calcula, para cada cosecha, el porcentaje con mora a los 3, 6 y 12 meses.</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9"/>
                <w:szCs w:val="19"/>
              </w:rPr>
              <w:t xml:space="preserve">Fórmula</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9"/>
                <w:szCs w:val="19"/>
              </w:rPr>
              <w:t xml:space="preserve">Mora de la cosecha al mes k = Saldo en mora de la cosecha en el mes k ÷ Monto desembolsado de la cosecha × 100</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Ejemplo</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Cosecha de enero: desembolsado US$300,000; a los 6 meses, US$9,600 con atraso &gt; 30 días → </w:t>
            </w:r>
            <w:r>
              <w:rPr>
                <w:b/>
                <w:bCs/>
                <w:sz w:val="19"/>
                <w:szCs w:val="19"/>
              </w:rPr>
              <w:t xml:space="preserve">3.2 %</w:t>
            </w:r>
            <w:r>
              <w:rPr>
                <w:b w:val="false"/>
                <w:bCs w:val="false"/>
                <w:sz w:val="19"/>
                <w:szCs w:val="19"/>
              </w:rPr>
              <w:t xml:space="preserve">. Cosecha de abril a los 6 meses: </w:t>
            </w:r>
            <w:r>
              <w:rPr>
                <w:b/>
                <w:bCs/>
                <w:sz w:val="19"/>
                <w:szCs w:val="19"/>
              </w:rPr>
              <w:t xml:space="preserve">5.1 %</w:t>
            </w:r>
            <w:r>
              <w:rPr>
                <w:b w:val="false"/>
                <w:bCs w:val="false"/>
                <w:sz w:val="19"/>
                <w:szCs w:val="19"/>
              </w:rPr>
              <w:t xml:space="preserve">.</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9"/>
                <w:szCs w:val="19"/>
              </w:rPr>
              <w:t xml:space="preserve">Interpretación</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9"/>
                <w:szCs w:val="19"/>
              </w:rPr>
              <w:t xml:space="preserve">La cosecha de abril se deteriora más rápido: conviene revisar qué cambió en la originación.</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Limitaciones / errores a evitar</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Comparar cosechas en distinto mes de maduración.</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b/>
                <w:bCs/>
                <w:sz w:val="19"/>
                <w:szCs w:val="19"/>
              </w:rPr>
              <w:t xml:space="preserve">Influencia en la decisión</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b w:val="false"/>
                <w:bCs w:val="false"/>
                <w:sz w:val="19"/>
                <w:szCs w:val="19"/>
              </w:rPr>
              <w:t xml:space="preserve">Es la base para la validación retrospectiva del modelo de puntuación (Capítulo 10).</w:t>
            </w:r>
          </w:p>
        </w:tc>
      </w:tr>
    </w:tbl>
    <w:p>
      <w:pPr>
        <w:spacing w:after="120"/>
      </w:pPr>
    </w:p>
    <w:p>
      <w:pPr>
        <w:pStyle w:val="Heading2"/>
        <w:keepNext/>
      </w:pPr>
      <w:r>
        <w:t xml:space="preserve">14.4 Alertas tempranas</w:t>
      </w:r>
    </w:p>
    <w:p>
      <w:pPr>
        <w:keepNext/>
        <w:spacing w:after="60" w:before="120"/>
      </w:pPr>
      <w:r>
        <w:rPr>
          <w:b/>
          <w:bCs/>
          <w:color w:val="1F3864"/>
          <w:sz w:val="19"/>
          <w:szCs w:val="19"/>
        </w:rPr>
        <w:t xml:space="preserve">Tabla 14.2. Alertas tempranas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2808"/>
        <w:gridCol w:w="3744"/>
      </w:tblGrid>
      <w:tr>
        <w:trPr>
          <w:cantSplit/>
          <w:tblHeader/>
        </w:trPr>
        <w:tc>
          <w:tcPr>
            <w:tcW w:type="dxa" w:w="2808"/>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Alerta</w:t>
            </w:r>
          </w:p>
        </w:tc>
        <w:tc>
          <w:tcPr>
            <w:tcW w:type="dxa" w:w="2808"/>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Posible causa</w:t>
            </w:r>
          </w:p>
        </w:tc>
        <w:tc>
          <w:tcPr>
            <w:tcW w:type="dxa" w:w="3744"/>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Acción sugerida (según política)</w:t>
            </w:r>
          </w:p>
        </w:tc>
      </w:tr>
      <w:tr>
        <w:trPr>
          <w:cantSplit/>
        </w:trPr>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Primer atraso de un cliente puntual</w:t>
            </w:r>
          </w:p>
        </w:tc>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Imprevisto, cambio de fecha de pago</w:t>
            </w:r>
          </w:p>
        </w:tc>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Contacto amable en los primeros días; registrar motivo.</w:t>
            </w:r>
          </w:p>
        </w:tc>
      </w:tr>
      <w:tr>
        <w:trPr>
          <w:cantSplit/>
        </w:trPr>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Pagos parciales repetidos</w:t>
            </w:r>
          </w:p>
        </w:tc>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Presión de liquidez</w:t>
            </w:r>
          </w:p>
        </w:tc>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Entrevista; evaluar ajuste preventivo.</w:t>
            </w:r>
          </w:p>
        </w:tc>
      </w:tr>
      <w:tr>
        <w:trPr>
          <w:cantSplit/>
        </w:trPr>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Caída de abonos de nómina</w:t>
            </w:r>
          </w:p>
        </w:tc>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Pérdida de empleo o reducción salarial</w:t>
            </w:r>
          </w:p>
        </w:tc>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Contacto y actualización de información.</w:t>
            </w:r>
          </w:p>
        </w:tc>
      </w:tr>
      <w:tr>
        <w:trPr>
          <w:cantSplit/>
        </w:trPr>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Nuevas deudas relevantes en el historial</w:t>
            </w:r>
          </w:p>
        </w:tc>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Sobreendeudamiento</w:t>
            </w:r>
          </w:p>
        </w:tc>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Revisión de capacidad.</w:t>
            </w:r>
          </w:p>
        </w:tc>
      </w:tr>
      <w:tr>
        <w:trPr>
          <w:cantSplit/>
        </w:trPr>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Caída de ventas del negocio</w:t>
            </w:r>
          </w:p>
        </w:tc>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Problema comercial o sectorial</w:t>
            </w:r>
          </w:p>
        </w:tc>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Visita y revisión financiera.</w:t>
            </w:r>
          </w:p>
        </w:tc>
      </w:tr>
      <w:tr>
        <w:trPr>
          <w:cantSplit/>
        </w:trPr>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Seguro de la garantía vencido</w:t>
            </w:r>
          </w:p>
        </w:tc>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Descuido</w:t>
            </w:r>
          </w:p>
        </w:tc>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Requerir renovación.</w:t>
            </w:r>
          </w:p>
        </w:tc>
      </w:tr>
      <w:tr>
        <w:trPr>
          <w:cantSplit/>
        </w:trPr>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Información negativa pública del cliente o del sector</w:t>
            </w:r>
          </w:p>
        </w:tc>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Riesgo reputacional o sectorial</w:t>
            </w:r>
          </w:p>
        </w:tc>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Análisis y escalamiento.</w:t>
            </w:r>
          </w:p>
        </w:tc>
      </w:tr>
    </w:tbl>
    <w:p>
      <w:pPr>
        <w:spacing w:after="120"/>
      </w:pPr>
    </w:p>
    <w:p>
      <w:pPr>
        <w:pStyle w:val="Heading2"/>
        <w:keepNext/>
      </w:pPr>
      <w:r>
        <w:t xml:space="preserve">14.5 Comunicación con el cliente y gestión preventiva</w:t>
      </w:r>
    </w:p>
    <w:p>
      <w:pPr>
        <w:pStyle w:val="ListParagraph"/>
        <w:numPr>
          <w:ilvl w:val="0"/>
          <w:numId w:val="25"/>
        </w:numPr>
        <w:spacing w:after="60"/>
        <w:jc w:val="left"/>
      </w:pPr>
      <w:r>
        <w:t xml:space="preserve">Contactar con respeto, en horarios razonables y por canales autorizados.</w:t>
      </w:r>
    </w:p>
    <w:p>
      <w:pPr>
        <w:pStyle w:val="ListParagraph"/>
        <w:numPr>
          <w:ilvl w:val="0"/>
          <w:numId w:val="25"/>
        </w:numPr>
        <w:spacing w:after="60"/>
        <w:jc w:val="left"/>
      </w:pPr>
      <w:r>
        <w:t xml:space="preserve">Escuchar la causa del atraso y registrar la información.</w:t>
      </w:r>
    </w:p>
    <w:p>
      <w:pPr>
        <w:pStyle w:val="ListParagraph"/>
        <w:numPr>
          <w:ilvl w:val="0"/>
          <w:numId w:val="25"/>
        </w:numPr>
        <w:spacing w:after="60"/>
        <w:jc w:val="left"/>
      </w:pPr>
      <w:r>
        <w:t xml:space="preserve">Explicar con claridad las consecuencias del atraso y las opciones disponibles.</w:t>
      </w:r>
    </w:p>
    <w:p>
      <w:pPr>
        <w:pStyle w:val="ListParagraph"/>
        <w:numPr>
          <w:ilvl w:val="0"/>
          <w:numId w:val="25"/>
        </w:numPr>
        <w:spacing w:after="60"/>
        <w:jc w:val="left"/>
      </w:pPr>
      <w:r>
        <w:t xml:space="preserve">Evaluar, cuando la política lo permita, alternativas como reprogramación o reestructuración </w:t>
      </w:r>
      <w:r>
        <w:rPr>
          <w:b/>
          <w:bCs/>
        </w:rPr>
        <w:t xml:space="preserve">con un nuevo análisis de capacidad</w:t>
      </w:r>
      <w:r>
        <w:t xml:space="preserve">, no de forma automática.</w:t>
      </w:r>
    </w:p>
    <w:p>
      <w:pPr>
        <w:pStyle w:val="ListParagraph"/>
        <w:numPr>
          <w:ilvl w:val="0"/>
          <w:numId w:val="25"/>
        </w:numPr>
        <w:spacing w:after="60"/>
        <w:jc w:val="left"/>
      </w:pPr>
      <w:r>
        <w:t xml:space="preserve">Respetar la normativa de protección al consumidor en las gestiones de cobro y la confidencialidad de la información.</w:t>
      </w:r>
    </w:p>
    <w:p>
      <w:pPr>
        <w:pStyle w:val="Heading2"/>
        <w:keepNext/>
      </w:pPr>
      <w:r>
        <w:t xml:space="preserve">14.6 Escalamiento y gestión de mora</w:t>
      </w:r>
    </w:p>
    <w:p>
      <w:pPr>
        <w:keepNext/>
        <w:spacing w:after="60" w:before="120"/>
      </w:pPr>
      <w:r>
        <w:rPr>
          <w:b/>
          <w:bCs/>
          <w:color w:val="1F3864"/>
          <w:sz w:val="19"/>
          <w:szCs w:val="19"/>
        </w:rPr>
        <w:t xml:space="preserve">Tabla 14.3. Etapas de gestión (los rangos deben definirse en la política institucional)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872"/>
        <w:gridCol w:w="2340"/>
        <w:gridCol w:w="3276"/>
      </w:tblGrid>
      <w:tr>
        <w:trPr>
          <w:cantSplit/>
          <w:tblHeader/>
        </w:trPr>
        <w:tc>
          <w:tcPr>
            <w:tcW w:type="dxa" w:w="187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Etapa (ilustrativa)</w:t>
            </w:r>
          </w:p>
        </w:tc>
        <w:tc>
          <w:tcPr>
            <w:tcW w:type="dxa" w:w="187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Rango de atraso</w:t>
            </w:r>
          </w:p>
        </w:tc>
        <w:tc>
          <w:tcPr>
            <w:tcW w:type="dxa" w:w="234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Responsable</w:t>
            </w:r>
          </w:p>
        </w:tc>
        <w:tc>
          <w:tcPr>
            <w:tcW w:type="dxa" w:w="327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Acciones</w:t>
            </w:r>
          </w:p>
        </w:tc>
      </w:tr>
      <w:tr>
        <w:trPr>
          <w:cantSplit/>
        </w:trPr>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Preventiva</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Antes del vencimiento</w:t>
            </w:r>
          </w:p>
        </w:tc>
        <w:tc>
          <w:tcPr>
            <w:tcW w:type="dxa" w:w="23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Servicio al cliente / sistema</w:t>
            </w:r>
          </w:p>
        </w:tc>
        <w:tc>
          <w:tcPr>
            <w:tcW w:type="dxa" w:w="327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Recordatorios de pago.</w:t>
            </w:r>
          </w:p>
        </w:tc>
      </w:tr>
      <w:tr>
        <w:trPr>
          <w:cantSplit/>
        </w:trPr>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Temprana</w:t>
            </w:r>
          </w:p>
        </w:tc>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1 a 30 días</w:t>
            </w:r>
          </w:p>
        </w:tc>
        <w:tc>
          <w:tcPr>
            <w:tcW w:type="dxa" w:w="23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Cobranza temprana / oficial</w:t>
            </w:r>
          </w:p>
        </w:tc>
        <w:tc>
          <w:tcPr>
            <w:tcW w:type="dxa" w:w="327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Llamadas, mensajes, acuerdos de pago.</w:t>
            </w:r>
          </w:p>
        </w:tc>
      </w:tr>
      <w:tr>
        <w:trPr>
          <w:cantSplit/>
        </w:trPr>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Intermedia</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31 a 90 días</w:t>
            </w:r>
          </w:p>
        </w:tc>
        <w:tc>
          <w:tcPr>
            <w:tcW w:type="dxa" w:w="23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Cobranza especializada</w:t>
            </w:r>
          </w:p>
        </w:tc>
        <w:tc>
          <w:tcPr>
            <w:tcW w:type="dxa" w:w="327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Visitas, propuestas de normalización evaluadas.</w:t>
            </w:r>
          </w:p>
        </w:tc>
      </w:tr>
      <w:tr>
        <w:trPr>
          <w:cantSplit/>
        </w:trPr>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Avanzada</w:t>
            </w:r>
          </w:p>
        </w:tc>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Más de 90 días</w:t>
            </w:r>
          </w:p>
        </w:tc>
        <w:tc>
          <w:tcPr>
            <w:tcW w:type="dxa" w:w="23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Recuperación / legal</w:t>
            </w:r>
          </w:p>
        </w:tc>
        <w:tc>
          <w:tcPr>
            <w:tcW w:type="dxa" w:w="327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Evaluación de vía judicial y ejecución de garantías.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77C02" w:sz="4"/>
              <w:left w:val="single" w:color="C77C02" w:sz="24"/>
              <w:bottom w:val="single" w:color="C77C02" w:sz="4"/>
              <w:right w:val="single" w:color="C77C02" w:sz="4"/>
            </w:tcBorders>
            <w:shd w:fill="FFF4E0" w:color="auto" w:val="clear"/>
            <w:tcMar>
              <w:top w:type="dxa" w:w="100"/>
              <w:left w:type="dxa" w:w="180"/>
              <w:bottom w:type="dxa" w:w="100"/>
              <w:right w:type="dxa" w:w="180"/>
            </w:tcMar>
          </w:tcPr>
          <w:p>
            <w:pPr>
              <w:spacing w:after="60"/>
            </w:pPr>
            <w:r>
              <w:rPr>
                <w:b/>
                <w:bCs/>
                <w:color w:val="C77C02"/>
                <w:sz w:val="20"/>
                <w:szCs w:val="20"/>
              </w:rPr>
              <w:t xml:space="preserve">Nota metodológica</w:t>
            </w:r>
          </w:p>
          <w:p>
            <w:pPr>
              <w:spacing w:after="50"/>
              <w:jc w:val="left"/>
            </w:pPr>
            <w:r>
              <w:rPr>
                <w:sz w:val="20"/>
                <w:szCs w:val="20"/>
              </w:rPr>
              <w:t xml:space="preserve">Los rangos de la Tabla 14.3 son ilustrativos. La clasificación regulatoria por días de mora y las reservas asociadas se rigen por la norma aplicable (por ejemplo, NCB-022 para sus sujetos obligados), que debe consultarse en su versión vigente.</w:t>
            </w:r>
          </w:p>
        </w:tc>
      </w:tr>
    </w:tbl>
    <w:p>
      <w:pPr>
        <w:spacing w:after="120"/>
      </w:pPr>
    </w:p>
    <w:p>
      <w:pPr>
        <w:pStyle w:val="Heading2"/>
        <w:keepNext/>
      </w:pPr>
      <w:r>
        <w:t xml:space="preserve">14.7 Retroalimentación a la originación</w:t>
      </w:r>
    </w:p>
    <w:p>
      <w:pPr>
        <w:keepNext w:val="false"/>
        <w:spacing w:after="120" w:before="0"/>
        <w:jc w:val="both"/>
      </w:pPr>
      <w:r>
        <w:t xml:space="preserve">Los resultados del seguimiento deben volver a la metodología: qué factores predijeron la mora, qué alertas no se detectaron, qué excepciones resultaron problemáticas. Esa información sustenta la validación del modelo de puntuación y la actualización de políticas.</w:t>
      </w:r>
    </w:p>
    <w:p>
      <w:pPr>
        <w:pStyle w:val="Heading1"/>
        <w:pageBreakBefore/>
      </w:pPr>
      <w:r>
        <w:t xml:space="preserve">Capítulo 15. Errores frecuentes y buenas prácticas</w:t>
      </w:r>
    </w:p>
    <w:p>
      <w:pPr>
        <w:pStyle w:val="Heading2"/>
        <w:keepNext/>
      </w:pPr>
      <w:r>
        <w:t xml:space="preserve">15.1 Matriz de errores frecuentes</w:t>
      </w:r>
    </w:p>
    <w:p>
      <w:pPr>
        <w:keepNext/>
        <w:spacing w:after="60" w:before="120"/>
      </w:pPr>
      <w:r>
        <w:rPr>
          <w:b/>
          <w:bCs/>
          <w:color w:val="1F3864"/>
          <w:sz w:val="19"/>
          <w:szCs w:val="19"/>
        </w:rPr>
        <w:t xml:space="preserve">Tabla 15.1. Errores frecuentes, detección y prevención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4"/>
        <w:gridCol w:w="1591"/>
        <w:gridCol w:w="1965"/>
        <w:gridCol w:w="2059"/>
        <w:gridCol w:w="2061"/>
      </w:tblGrid>
      <w:tr>
        <w:trPr>
          <w:cantSplit/>
          <w:tblHeader/>
        </w:trPr>
        <w:tc>
          <w:tcPr>
            <w:tcW w:type="dxa" w:w="1684"/>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Error</w:t>
            </w:r>
          </w:p>
        </w:tc>
        <w:tc>
          <w:tcPr>
            <w:tcW w:type="dxa" w:w="1591"/>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Riesgo que genera</w:t>
            </w:r>
          </w:p>
        </w:tc>
        <w:tc>
          <w:tcPr>
            <w:tcW w:type="dxa" w:w="1965"/>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Cómo detectarlo</w:t>
            </w:r>
          </w:p>
        </w:tc>
        <w:tc>
          <w:tcPr>
            <w:tcW w:type="dxa" w:w="205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Cómo prevenirlo</w:t>
            </w:r>
          </w:p>
        </w:tc>
        <w:tc>
          <w:tcPr>
            <w:tcW w:type="dxa" w:w="2061"/>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Control recomendado</w:t>
            </w:r>
          </w:p>
        </w:tc>
      </w:tr>
      <w:tr>
        <w:trPr>
          <w:cantSplit/>
        </w:trPr>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Aceptar ingresos no comprobados</w:t>
            </w:r>
          </w:p>
        </w:tc>
        <w:tc>
          <w:tcPr>
            <w:tcW w:type="dxa" w:w="159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Sobreestimar la capacidad</w:t>
            </w:r>
          </w:p>
        </w:tc>
        <w:tc>
          <w:tcPr>
            <w:tcW w:type="dxa" w:w="196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Ingreso del informe sin documento de respaldo</w:t>
            </w:r>
          </w:p>
        </w:tc>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Regla: «lo que no se verifica no se usa»</w:t>
            </w:r>
          </w:p>
        </w:tc>
        <w:tc>
          <w:tcPr>
            <w:tcW w:type="dxa" w:w="206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Campo obligatorio de fuente en la hoja de cálculo</w:t>
            </w:r>
          </w:p>
        </w:tc>
      </w:tr>
      <w:tr>
        <w:trPr>
          <w:cantSplit/>
        </w:trPr>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Confundir ingreso bruto con disponible</w:t>
            </w:r>
          </w:p>
        </w:tc>
        <w:tc>
          <w:tcPr>
            <w:tcW w:type="dxa" w:w="159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Capacidad ficticia</w:t>
            </w:r>
          </w:p>
        </w:tc>
        <w:tc>
          <w:tcPr>
            <w:tcW w:type="dxa" w:w="196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Indicadores calculados sobre bruto</w:t>
            </w:r>
          </w:p>
        </w:tc>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Plantilla que parte del neto</w:t>
            </w:r>
          </w:p>
        </w:tc>
        <w:tc>
          <w:tcPr>
            <w:tcW w:type="dxa" w:w="206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Revisión de fórmulas por segundo analista</w:t>
            </w:r>
          </w:p>
        </w:tc>
      </w:tr>
      <w:tr>
        <w:trPr>
          <w:cantSplit/>
        </w:trPr>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Omitir obligaciones</w:t>
            </w:r>
          </w:p>
        </w:tc>
        <w:tc>
          <w:tcPr>
            <w:tcW w:type="dxa" w:w="159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Sobreendeudamiento</w:t>
            </w:r>
          </w:p>
        </w:tc>
        <w:tc>
          <w:tcPr>
            <w:tcW w:type="dxa" w:w="196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Diferencias entre declaración e historial</w:t>
            </w:r>
          </w:p>
        </w:tc>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Consulta obligatoria del historial</w:t>
            </w:r>
          </w:p>
        </w:tc>
        <w:tc>
          <w:tcPr>
            <w:tcW w:type="dxa" w:w="206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Conciliación deuda declarada vs. reportada</w:t>
            </w:r>
          </w:p>
        </w:tc>
      </w:tr>
      <w:tr>
        <w:trPr>
          <w:cantSplit/>
        </w:trPr>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Subestimar gastos esenciales</w:t>
            </w:r>
          </w:p>
        </w:tc>
        <w:tc>
          <w:tcPr>
            <w:tcW w:type="dxa" w:w="159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Capacidad inflada</w:t>
            </w:r>
          </w:p>
        </w:tc>
        <w:tc>
          <w:tcPr>
            <w:tcW w:type="dxa" w:w="196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Gastos menores que el mínimo de referencia</w:t>
            </w:r>
          </w:p>
        </w:tc>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Aplicar el mayor entre declarado y mínimo</w:t>
            </w:r>
          </w:p>
        </w:tc>
        <w:tc>
          <w:tcPr>
            <w:tcW w:type="dxa" w:w="206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Alerta automática en la plantilla</w:t>
            </w:r>
          </w:p>
        </w:tc>
      </w:tr>
      <w:tr>
        <w:trPr>
          <w:cantSplit/>
        </w:trPr>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Usar información desactualizada</w:t>
            </w:r>
          </w:p>
        </w:tc>
        <w:tc>
          <w:tcPr>
            <w:tcW w:type="dxa" w:w="159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Decisión sobre una realidad que ya cambió</w:t>
            </w:r>
          </w:p>
        </w:tc>
        <w:tc>
          <w:tcPr>
            <w:tcW w:type="dxa" w:w="196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Fechas de documentos fuera de política</w:t>
            </w:r>
          </w:p>
        </w:tc>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Vigencia máxima por documento</w:t>
            </w:r>
          </w:p>
        </w:tc>
        <w:tc>
          <w:tcPr>
            <w:tcW w:type="dxa" w:w="206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Lista de recepción con fechas</w:t>
            </w:r>
          </w:p>
        </w:tc>
      </w:tr>
      <w:tr>
        <w:trPr>
          <w:cantSplit/>
        </w:trPr>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Sobrevalorar garantías</w:t>
            </w:r>
          </w:p>
        </w:tc>
        <w:tc>
          <w:tcPr>
            <w:tcW w:type="dxa" w:w="159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Pérdida en ejecución</w:t>
            </w:r>
          </w:p>
        </w:tc>
        <w:tc>
          <w:tcPr>
            <w:tcW w:type="dxa" w:w="196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Avalúos antiguos o del propio cliente</w:t>
            </w:r>
          </w:p>
        </w:tc>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Avalúo independiente; valor de realización</w:t>
            </w:r>
          </w:p>
        </w:tc>
        <w:tc>
          <w:tcPr>
            <w:tcW w:type="dxa" w:w="206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Revisión de avalúos por muestreo</w:t>
            </w:r>
          </w:p>
        </w:tc>
      </w:tr>
      <w:tr>
        <w:trPr>
          <w:cantSplit/>
        </w:trPr>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Confiar solo en una puntuación</w:t>
            </w:r>
          </w:p>
        </w:tc>
        <w:tc>
          <w:tcPr>
            <w:tcW w:type="dxa" w:w="159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Ignorar riesgos críticos</w:t>
            </w:r>
          </w:p>
        </w:tc>
        <w:tc>
          <w:tcPr>
            <w:tcW w:type="dxa" w:w="196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Informe sin análisis de capacidad</w:t>
            </w:r>
          </w:p>
        </w:tc>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Reglas de riesgo crítico previas</w:t>
            </w:r>
          </w:p>
        </w:tc>
        <w:tc>
          <w:tcPr>
            <w:tcW w:type="dxa" w:w="206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Formato de informe con secciones obligatorias</w:t>
            </w:r>
          </w:p>
        </w:tc>
      </w:tr>
      <w:tr>
        <w:trPr>
          <w:cantSplit/>
        </w:trPr>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Ignorar contradicciones</w:t>
            </w:r>
          </w:p>
        </w:tc>
        <w:tc>
          <w:tcPr>
            <w:tcW w:type="dxa" w:w="159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Fraude o error</w:t>
            </w:r>
          </w:p>
        </w:tc>
        <w:tc>
          <w:tcPr>
            <w:tcW w:type="dxa" w:w="196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Datos distintos entre fuentes</w:t>
            </w:r>
          </w:p>
        </w:tc>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Registro obligatorio de alertas</w:t>
            </w:r>
          </w:p>
        </w:tc>
        <w:tc>
          <w:tcPr>
            <w:tcW w:type="dxa" w:w="206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Ninguna alerta abierta al aprobar</w:t>
            </w:r>
          </w:p>
        </w:tc>
      </w:tr>
      <w:tr>
        <w:trPr>
          <w:cantSplit/>
        </w:trPr>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No realizar escenarios adversos</w:t>
            </w:r>
          </w:p>
        </w:tc>
        <w:tc>
          <w:tcPr>
            <w:tcW w:type="dxa" w:w="159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Operaciones frágiles</w:t>
            </w:r>
          </w:p>
        </w:tc>
        <w:tc>
          <w:tcPr>
            <w:tcW w:type="dxa" w:w="196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Informe sin sección de sensibilidad</w:t>
            </w:r>
          </w:p>
        </w:tc>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Escenario mínimo obligatorio</w:t>
            </w:r>
          </w:p>
        </w:tc>
        <w:tc>
          <w:tcPr>
            <w:tcW w:type="dxa" w:w="206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Campo obligatorio en plantilla</w:t>
            </w:r>
          </w:p>
        </w:tc>
      </w:tr>
      <w:tr>
        <w:trPr>
          <w:cantSplit/>
        </w:trPr>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No justificar la recomendación</w:t>
            </w:r>
          </w:p>
        </w:tc>
        <w:tc>
          <w:tcPr>
            <w:tcW w:type="dxa" w:w="159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Decisiones arbitrarias</w:t>
            </w:r>
          </w:p>
        </w:tc>
        <w:tc>
          <w:tcPr>
            <w:tcW w:type="dxa" w:w="196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Recomendación sin cifras</w:t>
            </w:r>
          </w:p>
        </w:tc>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Plantilla con justificación</w:t>
            </w:r>
          </w:p>
        </w:tc>
        <w:tc>
          <w:tcPr>
            <w:tcW w:type="dxa" w:w="206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Revisión del aprobador</w:t>
            </w:r>
          </w:p>
        </w:tc>
      </w:tr>
      <w:tr>
        <w:trPr>
          <w:cantSplit/>
        </w:trPr>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Omitir documentación</w:t>
            </w:r>
          </w:p>
        </w:tc>
        <w:tc>
          <w:tcPr>
            <w:tcW w:type="dxa" w:w="159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Riesgo legal y de supervisión</w:t>
            </w:r>
          </w:p>
        </w:tc>
        <w:tc>
          <w:tcPr>
            <w:tcW w:type="dxa" w:w="196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Expediente incompleto</w:t>
            </w:r>
          </w:p>
        </w:tc>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Lista documental por producto</w:t>
            </w:r>
          </w:p>
        </w:tc>
        <w:tc>
          <w:tcPr>
            <w:tcW w:type="dxa" w:w="206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Control previo al desembolso</w:t>
            </w:r>
          </w:p>
        </w:tc>
      </w:tr>
      <w:tr>
        <w:trPr>
          <w:cantSplit/>
        </w:trPr>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Criterios inconsistentes entre solicitudes comparables</w:t>
            </w:r>
          </w:p>
        </w:tc>
        <w:tc>
          <w:tcPr>
            <w:tcW w:type="dxa" w:w="159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Trato desigual y riesgo no controlado</w:t>
            </w:r>
          </w:p>
        </w:tc>
        <w:tc>
          <w:tcPr>
            <w:tcW w:type="dxa" w:w="196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Comparación de casos similares con decisiones distintas</w:t>
            </w:r>
          </w:p>
        </w:tc>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Metodología y parámetros únicos</w:t>
            </w:r>
          </w:p>
        </w:tc>
        <w:tc>
          <w:tcPr>
            <w:tcW w:type="dxa" w:w="206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Muestreo de consistencia y análisis de excepciones</w:t>
            </w:r>
          </w:p>
        </w:tc>
      </w:tr>
    </w:tbl>
    <w:p>
      <w:pPr>
        <w:spacing w:after="120"/>
      </w:pPr>
    </w:p>
    <w:p>
      <w:pPr>
        <w:pStyle w:val="Heading2"/>
        <w:keepNext/>
      </w:pPr>
      <w:r>
        <w:t xml:space="preserve">15.2 Desarrollo de los errores más críticos</w:t>
      </w:r>
    </w:p>
    <w:p>
      <w:pPr>
        <w:pStyle w:val="Heading3"/>
        <w:keepNext/>
      </w:pPr>
      <w:r>
        <w:t xml:space="preserve">15.2.1 Aceptar ingresos no comprobados</w:t>
      </w:r>
    </w:p>
    <w:p>
      <w:pPr>
        <w:keepNext w:val="false"/>
        <w:spacing w:after="120" w:before="0"/>
        <w:jc w:val="both"/>
      </w:pPr>
      <w:r>
        <w:t xml:space="preserve">Es la causa más común de capacidad sobreestimada. Si un comerciante afirma vender US$12,000 pero solo puede respaldar US$6,800, usar la cifra declarada multiplica artificialmente la capacidad. </w:t>
      </w:r>
      <w:r>
        <w:rPr>
          <w:b/>
          <w:bCs/>
        </w:rPr>
        <w:t xml:space="preserve">Regla práctica:</w:t>
      </w:r>
      <w:r>
        <w:t xml:space="preserve"> la cifra que no tenga respaldo documental o en movimientos bancarios se excluye o se reconoce con un ajuste aprobado por política.</w:t>
      </w:r>
    </w:p>
    <w:p>
      <w:pPr>
        <w:pStyle w:val="Heading3"/>
        <w:keepNext/>
      </w:pPr>
      <w:r>
        <w:t xml:space="preserve">15.2.2 Confundir ingreso bruto con ingreso disponible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2E75B6" w:sz="4"/>
              <w:left w:val="single" w:color="2E75B6" w:sz="24"/>
              <w:bottom w:val="single" w:color="2E75B6" w:sz="4"/>
              <w:right w:val="single" w:color="2E75B6" w:sz="4"/>
            </w:tcBorders>
            <w:shd w:fill="F2F7FC" w:color="auto" w:val="clear"/>
            <w:tcMar>
              <w:top w:type="dxa" w:w="100"/>
              <w:left w:type="dxa" w:w="180"/>
              <w:bottom w:type="dxa" w:w="100"/>
              <w:right w:type="dxa" w:w="180"/>
            </w:tcMar>
          </w:tcPr>
          <w:p>
            <w:pPr>
              <w:spacing w:after="60"/>
            </w:pPr>
            <w:r>
              <w:rPr>
                <w:b/>
                <w:bCs/>
                <w:color w:val="2E75B6"/>
                <w:sz w:val="20"/>
                <w:szCs w:val="20"/>
              </w:rPr>
              <w:t xml:space="preserve">Ejemplo (datos ficticios) — efecto del error</w:t>
            </w:r>
          </w:p>
          <w:p>
            <w:pPr>
              <w:spacing w:after="50"/>
              <w:jc w:val="left"/>
            </w:pPr>
            <w:r>
              <w:rPr>
                <w:sz w:val="20"/>
                <w:szCs w:val="20"/>
              </w:rPr>
              <w:t xml:space="preserve">Ingreso bruto US$1,400; neto US$1,195; deudas US$230.04.</w:t>
            </w:r>
          </w:p>
          <w:p>
            <w:pPr>
              <w:spacing w:after="50"/>
              <w:jc w:val="left"/>
            </w:pPr>
            <w:r>
              <w:rPr>
                <w:sz w:val="20"/>
                <w:szCs w:val="20"/>
              </w:rPr>
              <w:t xml:space="preserve">Relación deuda-ingreso sobre bruto: 230.04 ÷ 1,400 × 100 = 16.43 %. Sobre neto: 19.25 %. La diferencia parece pequeña, pero en casos ajustados puede cambiar la decisión.</w:t>
            </w:r>
          </w:p>
        </w:tc>
      </w:tr>
    </w:tbl>
    <w:p>
      <w:pPr>
        <w:spacing w:after="120"/>
      </w:pPr>
    </w:p>
    <w:p>
      <w:pPr>
        <w:pStyle w:val="Heading3"/>
        <w:keepNext/>
      </w:pPr>
      <w:r>
        <w:t xml:space="preserve">15.2.3 Omitir obligaciones</w:t>
      </w:r>
    </w:p>
    <w:p>
      <w:pPr>
        <w:keepNext w:val="false"/>
        <w:spacing w:after="120" w:before="0"/>
        <w:jc w:val="both"/>
      </w:pPr>
      <w:r>
        <w:t xml:space="preserve">Fianzas a terceros, préstamos informales, compras a plazo en comercios y descuentos por planilla suelen omitirse. Deben preguntarse expresamente y contrastarse con historial y estados de cuenta.</w:t>
      </w:r>
    </w:p>
    <w:p>
      <w:pPr>
        <w:pStyle w:val="Heading3"/>
        <w:keepNext/>
      </w:pPr>
      <w:r>
        <w:t xml:space="preserve">15.2.4 Subestimar gastos esenciales</w:t>
      </w:r>
    </w:p>
    <w:p>
      <w:pPr>
        <w:keepNext w:val="false"/>
        <w:spacing w:after="120" w:before="0"/>
        <w:jc w:val="both"/>
      </w:pPr>
      <w:r>
        <w:t xml:space="preserve">Un hogar de cinco personas que declara gastar US$250 al mes es poco creíble. Aplicar el gasto mínimo de referencia evita aprobar sobre presupuestos irreales.</w:t>
      </w:r>
    </w:p>
    <w:p>
      <w:pPr>
        <w:pStyle w:val="Heading3"/>
        <w:keepNext/>
      </w:pPr>
      <w:r>
        <w:t xml:space="preserve">15.2.5 Usar información desactualizada</w:t>
      </w:r>
    </w:p>
    <w:p>
      <w:pPr>
        <w:keepNext w:val="false"/>
        <w:spacing w:after="120" w:before="0"/>
        <w:jc w:val="both"/>
      </w:pPr>
      <w:r>
        <w:t xml:space="preserve">Un estado financiero de hace dos años o un reporte de historial de hace tres meses pueden no reflejar la situación actual. La política debe fijar la antigüedad máxima aceptada por documento.</w:t>
      </w:r>
    </w:p>
    <w:p>
      <w:pPr>
        <w:pStyle w:val="Heading3"/>
        <w:keepNext/>
      </w:pPr>
      <w:r>
        <w:t xml:space="preserve">15.2.6 Sobrevalorar garantías</w:t>
      </w:r>
    </w:p>
    <w:p>
      <w:pPr>
        <w:keepNext w:val="false"/>
        <w:spacing w:after="120" w:before="0"/>
        <w:jc w:val="both"/>
      </w:pPr>
      <w:r>
        <w:t xml:space="preserve">Usar el valor comercial en lugar del valor de realización y no restar costos de ejecución sobreestima la cobertura (Capítulo 6).</w:t>
      </w:r>
    </w:p>
    <w:p>
      <w:pPr>
        <w:pStyle w:val="Heading3"/>
        <w:keepNext/>
      </w:pPr>
      <w:r>
        <w:t xml:space="preserve">15.2.7 Confiar exclusivamente en una puntuación</w:t>
      </w:r>
    </w:p>
    <w:p>
      <w:pPr>
        <w:keepNext w:val="false"/>
        <w:spacing w:after="120" w:before="0"/>
        <w:jc w:val="both"/>
      </w:pPr>
      <w:r>
        <w:t xml:space="preserve">La puntuación resume, pero puede ocultar un riesgo crítico. Las reglas de exclusión del Capítulo 10 se aplican antes.</w:t>
      </w:r>
    </w:p>
    <w:p>
      <w:pPr>
        <w:pStyle w:val="Heading3"/>
        <w:keepNext/>
      </w:pPr>
      <w:r>
        <w:t xml:space="preserve">15.2.8 Ignorar contradicciones</w:t>
      </w:r>
    </w:p>
    <w:p>
      <w:pPr>
        <w:keepNext w:val="false"/>
        <w:spacing w:after="120" w:before="0"/>
        <w:jc w:val="both"/>
      </w:pPr>
      <w:r>
        <w:t xml:space="preserve">Cada contradicción (fecha de ingreso laboral distinta, dirección diferente, ventas que no cuadran) debe registrarse y resolverse antes de recomendar.</w:t>
      </w:r>
    </w:p>
    <w:p>
      <w:pPr>
        <w:pStyle w:val="Heading3"/>
        <w:keepNext/>
      </w:pPr>
      <w:r>
        <w:t xml:space="preserve">15.2.9 No realizar escenarios adversos</w:t>
      </w:r>
    </w:p>
    <w:p>
      <w:pPr>
        <w:keepNext w:val="false"/>
        <w:spacing w:after="120" w:before="0"/>
        <w:jc w:val="both"/>
      </w:pPr>
      <w:r>
        <w:t xml:space="preserve">Una operación que solo funciona si todo sale bien es frágil. El escenario adverso mínimo debe formar parte de toda evaluación, con intensidad proporcional al riesgo.</w:t>
      </w:r>
    </w:p>
    <w:p>
      <w:pPr>
        <w:pStyle w:val="Heading3"/>
        <w:keepNext/>
      </w:pPr>
      <w:r>
        <w:t xml:space="preserve">15.2.10 No justificar la recomendación</w:t>
      </w:r>
    </w:p>
    <w:p>
      <w:pPr>
        <w:keepNext w:val="false"/>
        <w:spacing w:after="120" w:before="0"/>
        <w:jc w:val="both"/>
      </w:pPr>
      <w:r>
        <w:t xml:space="preserve">«Se recomienda por buen cliente» no es una justificación. La recomendación debe citar los indicadores y la evidencia que la sustentan.</w:t>
      </w:r>
    </w:p>
    <w:p>
      <w:pPr>
        <w:pStyle w:val="Heading3"/>
        <w:keepNext/>
      </w:pPr>
      <w:r>
        <w:t xml:space="preserve">15.2.11 Omitir documentación</w:t>
      </w:r>
    </w:p>
    <w:p>
      <w:pPr>
        <w:keepNext w:val="false"/>
        <w:spacing w:after="120" w:before="0"/>
        <w:jc w:val="both"/>
      </w:pPr>
      <w:r>
        <w:t xml:space="preserve">Lo que no está documentado, para efectos de revisión, no ocurrió. La ausencia de evidencias expone a la institución en auditorías, supervisión y cobro judicial.</w:t>
      </w:r>
    </w:p>
    <w:p>
      <w:pPr>
        <w:pStyle w:val="Heading3"/>
        <w:keepNext/>
      </w:pPr>
      <w:r>
        <w:t xml:space="preserve">15.2.12 Aplicar criterios inconsistentes a solicitudes comparables</w:t>
      </w:r>
    </w:p>
    <w:p>
      <w:pPr>
        <w:keepNext w:val="false"/>
        <w:spacing w:after="120" w:before="0"/>
        <w:jc w:val="both"/>
      </w:pPr>
      <w:r>
        <w:t xml:space="preserve">Dos solicitantes con el mismo perfil deben recibir un tratamiento comparable. La inconsistencia genera riesgo no controlado y posibles reclamos por trato desigual. La metodología común, las plantillas y el análisis de excepciones son los controles clave.</w:t>
      </w:r>
    </w:p>
    <w:p>
      <w:pPr>
        <w:pStyle w:val="Heading2"/>
        <w:keepNext/>
      </w:pPr>
      <w:r>
        <w:t xml:space="preserve">15.3 Decálogo de buenas prácticas</w:t>
      </w:r>
    </w:p>
    <w:p>
      <w:pPr>
        <w:pStyle w:val="ListParagraph"/>
        <w:numPr>
          <w:ilvl w:val="0"/>
          <w:numId w:val="26"/>
        </w:numPr>
        <w:spacing w:after="60"/>
        <w:jc w:val="left"/>
      </w:pPr>
      <w:r>
        <w:t xml:space="preserve">Verificar con fuentes independientes.</w:t>
      </w:r>
    </w:p>
    <w:p>
      <w:pPr>
        <w:pStyle w:val="ListParagraph"/>
        <w:numPr>
          <w:ilvl w:val="0"/>
          <w:numId w:val="26"/>
        </w:numPr>
        <w:spacing w:after="60"/>
        <w:jc w:val="left"/>
      </w:pPr>
      <w:r>
        <w:t xml:space="preserve">Partir siempre del ingreso neto verificado.</w:t>
      </w:r>
    </w:p>
    <w:p>
      <w:pPr>
        <w:pStyle w:val="ListParagraph"/>
        <w:numPr>
          <w:ilvl w:val="0"/>
          <w:numId w:val="26"/>
        </w:numPr>
        <w:spacing w:after="60"/>
        <w:jc w:val="left"/>
      </w:pPr>
      <w:r>
        <w:t xml:space="preserve">Aplicar gastos mínimos realistas.</w:t>
      </w:r>
    </w:p>
    <w:p>
      <w:pPr>
        <w:pStyle w:val="ListParagraph"/>
        <w:numPr>
          <w:ilvl w:val="0"/>
          <w:numId w:val="26"/>
        </w:numPr>
        <w:spacing w:after="60"/>
        <w:jc w:val="left"/>
      </w:pPr>
      <w:r>
        <w:t xml:space="preserve">Cruzar deudas declaradas con el historial.</w:t>
      </w:r>
    </w:p>
    <w:p>
      <w:pPr>
        <w:pStyle w:val="ListParagraph"/>
        <w:numPr>
          <w:ilvl w:val="0"/>
          <w:numId w:val="26"/>
        </w:numPr>
        <w:spacing w:after="60"/>
        <w:jc w:val="left"/>
      </w:pPr>
      <w:r>
        <w:t xml:space="preserve">Ejecutar al menos un escenario adverso.</w:t>
      </w:r>
    </w:p>
    <w:p>
      <w:pPr>
        <w:pStyle w:val="ListParagraph"/>
        <w:numPr>
          <w:ilvl w:val="0"/>
          <w:numId w:val="26"/>
        </w:numPr>
        <w:spacing w:after="60"/>
        <w:jc w:val="left"/>
      </w:pPr>
      <w:r>
        <w:t xml:space="preserve">Tratar la garantía como segunda fuente de pago.</w:t>
      </w:r>
    </w:p>
    <w:p>
      <w:pPr>
        <w:pStyle w:val="ListParagraph"/>
        <w:numPr>
          <w:ilvl w:val="0"/>
          <w:numId w:val="26"/>
        </w:numPr>
        <w:spacing w:after="60"/>
        <w:jc w:val="left"/>
      </w:pPr>
      <w:r>
        <w:t xml:space="preserve">Aplicar reglas de riesgo crítico antes de la puntuación.</w:t>
      </w:r>
    </w:p>
    <w:p>
      <w:pPr>
        <w:pStyle w:val="ListParagraph"/>
        <w:numPr>
          <w:ilvl w:val="0"/>
          <w:numId w:val="26"/>
        </w:numPr>
        <w:spacing w:after="60"/>
        <w:jc w:val="left"/>
      </w:pPr>
      <w:r>
        <w:t xml:space="preserve">Documentar fuente, fecha y supuesto de cada dato.</w:t>
      </w:r>
    </w:p>
    <w:p>
      <w:pPr>
        <w:pStyle w:val="ListParagraph"/>
        <w:numPr>
          <w:ilvl w:val="0"/>
          <w:numId w:val="26"/>
        </w:numPr>
        <w:spacing w:after="60"/>
        <w:jc w:val="left"/>
      </w:pPr>
      <w:r>
        <w:t xml:space="preserve">Separar funciones de promoción, análisis, aprobación y desembolso.</w:t>
      </w:r>
    </w:p>
    <w:p>
      <w:pPr>
        <w:pStyle w:val="ListParagraph"/>
        <w:numPr>
          <w:ilvl w:val="0"/>
          <w:numId w:val="26"/>
        </w:numPr>
        <w:spacing w:after="60"/>
        <w:jc w:val="left"/>
      </w:pPr>
      <w:r>
        <w:t xml:space="preserve">Retroalimentar la metodología con el comportamiento real de la cartera.</w:t>
      </w:r>
    </w:p>
    <w:p>
      <w:pPr>
        <w:pStyle w:val="Heading1"/>
        <w:pageBreakBefore/>
      </w:pPr>
      <w:r>
        <w:t xml:space="preserve">Capítulo 16. Casos prácticos completos de El Salvador</w:t>
      </w:r>
    </w:p>
    <w:p>
      <w:pPr>
        <w:keepNext w:val="false"/>
        <w:spacing w:after="120" w:before="0"/>
        <w:jc w:val="both"/>
      </w:pPr>
      <w:r>
        <w:t xml:space="preserve">Los cuatro casos aplican la metodología completa. Todos los montos están en dólares de los Estados Unidos (US$). Las cuotas se calculan con la fórmula de cuota fija del Capítulo 4 y se redondean a centavos.</w:t>
      </w:r>
    </w:p>
    <w:p>
      <w:pPr>
        <w:pStyle w:val="Heading2"/>
        <w:keepNext/>
      </w:pPr>
      <w:r>
        <w:t xml:space="preserve">16.1 Caso 1: persona asalariada que solicita crédito de consumo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77C02" w:sz="4"/>
              <w:left w:val="single" w:color="C77C02" w:sz="24"/>
              <w:bottom w:val="single" w:color="C77C02" w:sz="4"/>
              <w:right w:val="single" w:color="C77C02" w:sz="4"/>
            </w:tcBorders>
            <w:shd w:fill="FFF4E0" w:color="auto" w:val="clear"/>
            <w:tcMar>
              <w:top w:type="dxa" w:w="100"/>
              <w:left w:type="dxa" w:w="180"/>
              <w:bottom w:type="dxa" w:w="100"/>
              <w:right w:type="dxa" w:w="180"/>
            </w:tcMar>
          </w:tcPr>
          <w:p>
            <w:pPr>
              <w:spacing w:after="60"/>
            </w:pPr>
            <w:r>
              <w:rPr>
                <w:b/>
                <w:bCs/>
                <w:color w:val="C77C02"/>
                <w:sz w:val="20"/>
                <w:szCs w:val="20"/>
              </w:rPr>
              <w:t xml:space="preserve">Aviso</w:t>
            </w:r>
          </w:p>
          <w:p>
            <w:pPr>
              <w:spacing w:after="50"/>
              <w:jc w:val="left"/>
            </w:pPr>
            <w:r>
              <w:rPr>
                <w:sz w:val="20"/>
                <w:szCs w:val="20"/>
              </w:rPr>
              <w:t xml:space="preserve">Caso </w:t>
            </w:r>
            <w:r>
              <w:rPr>
                <w:b/>
                <w:bCs/>
                <w:sz w:val="20"/>
                <w:szCs w:val="20"/>
              </w:rPr>
              <w:t xml:space="preserve">ficticio</w:t>
            </w:r>
            <w:r>
              <w:rPr>
                <w:sz w:val="20"/>
                <w:szCs w:val="20"/>
              </w:rPr>
              <w:t xml:space="preserve">. Nombres, cifras y documentos son inventados con fines didácticos. Los parámetros (gastos mínimos, criterio de cuota de tarjetas, rangos) son supuestos metodológicos.</w:t>
            </w:r>
          </w:p>
        </w:tc>
      </w:tr>
    </w:tbl>
    <w:p>
      <w:pPr>
        <w:spacing w:after="120"/>
      </w:pPr>
    </w:p>
    <w:p>
      <w:pPr>
        <w:pStyle w:val="Heading3"/>
        <w:keepNext/>
      </w:pPr>
      <w:r>
        <w:t xml:space="preserve">Perfil del solicitante</w:t>
      </w:r>
    </w:p>
    <w:p>
      <w:pPr>
        <w:keepNext w:val="false"/>
        <w:spacing w:after="120" w:before="0"/>
        <w:jc w:val="both"/>
      </w:pPr>
      <w:r>
        <w:t xml:space="preserve">Ana Lucía Martínez Rivas, 34 años, asistente administrativa en una empresa distribuidora de San Salvador desde hace 6 años, contrato por tiempo indefinido. Hogar de 3 personas (ella, su pareja con ingresos propios no considerados y un hijo). Vive en vivienda alquilada.</w:t>
      </w:r>
    </w:p>
    <w:p>
      <w:pPr>
        <w:pStyle w:val="Heading3"/>
        <w:keepNext/>
      </w:pPr>
      <w:r>
        <w:t xml:space="preserve">Solicitud, datos y documentos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6552"/>
      </w:tblGrid>
      <w:tr>
        <w:trPr>
          <w:cantSplit/>
        </w:trPr>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8"/>
                <w:szCs w:val="18"/>
              </w:rPr>
              <w:t xml:space="preserve">Monto / plazo / tasa</w:t>
            </w:r>
          </w:p>
        </w:tc>
        <w:tc>
          <w:tcPr>
            <w:tcW w:type="dxa" w:w="65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8"/>
                <w:szCs w:val="18"/>
              </w:rPr>
              <w:t xml:space="preserve">US$6,000 / 48 meses / 16 % nominal anual</w:t>
            </w:r>
          </w:p>
        </w:tc>
      </w:tr>
      <w:tr>
        <w:trPr>
          <w:cantSplit/>
        </w:trPr>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8"/>
                <w:szCs w:val="18"/>
              </w:rPr>
              <w:t xml:space="preserve">Destino</w:t>
            </w:r>
          </w:p>
        </w:tc>
        <w:tc>
          <w:tcPr>
            <w:tcW w:type="dxa" w:w="65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8"/>
                <w:szCs w:val="18"/>
              </w:rPr>
              <w:t xml:space="preserve">Mejoras a la vivienda (cotizaciones por US$6,150)</w:t>
            </w:r>
          </w:p>
        </w:tc>
      </w:tr>
      <w:tr>
        <w:trPr>
          <w:cantSplit/>
        </w:trPr>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b/>
                <w:bCs/>
                <w:sz w:val="18"/>
                <w:szCs w:val="18"/>
              </w:rPr>
              <w:t xml:space="preserve">Documentos</w:t>
            </w:r>
          </w:p>
        </w:tc>
        <w:tc>
          <w:tcPr>
            <w:tcW w:type="dxa" w:w="65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b w:val="false"/>
                <w:bCs w:val="false"/>
                <w:sz w:val="18"/>
                <w:szCs w:val="18"/>
              </w:rPr>
              <w:t xml:space="preserve">DUI, constancia salarial, 3 boletas, 3 estados de cuenta, autorización y reporte de historial, cotizaciones</w:t>
            </w:r>
          </w:p>
        </w:tc>
      </w:tr>
    </w:tbl>
    <w:p>
      <w:pPr>
        <w:spacing w:after="120"/>
      </w:pPr>
    </w:p>
    <w:p>
      <w:pPr>
        <w:pStyle w:val="Heading3"/>
        <w:keepNext/>
      </w:pPr>
      <w:r>
        <w:t xml:space="preserve">Ingresos, gastos y deudas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28"/>
        <w:gridCol w:w="1497"/>
        <w:gridCol w:w="2435"/>
      </w:tblGrid>
      <w:tr>
        <w:trPr>
          <w:cantSplit/>
          <w:tblHeader/>
        </w:trPr>
        <w:tc>
          <w:tcPr>
            <w:tcW w:type="dxa" w:w="5428"/>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Concepto</w:t>
            </w:r>
          </w:p>
        </w:tc>
        <w:tc>
          <w:tcPr>
            <w:tcW w:type="dxa" w:w="1497"/>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US$</w:t>
            </w:r>
          </w:p>
        </w:tc>
        <w:tc>
          <w:tcPr>
            <w:tcW w:type="dxa" w:w="2435"/>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Fuente</w:t>
            </w:r>
          </w:p>
        </w:tc>
      </w:tr>
      <w:tr>
        <w:trPr>
          <w:cantSplit/>
        </w:trPr>
        <w:tc>
          <w:tcPr>
            <w:tcW w:type="dxa" w:w="542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Salario bruto</w:t>
            </w:r>
          </w:p>
        </w:tc>
        <w:tc>
          <w:tcPr>
            <w:tcW w:type="dxa" w:w="149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right"/>
            </w:pPr>
            <w:r>
              <w:rPr>
                <w:sz w:val="18"/>
                <w:szCs w:val="18"/>
              </w:rPr>
              <w:t xml:space="preserve">1,400.00</w:t>
            </w:r>
          </w:p>
        </w:tc>
        <w:tc>
          <w:tcPr>
            <w:tcW w:type="dxa" w:w="243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Constancia y boletas</w:t>
            </w:r>
          </w:p>
        </w:tc>
      </w:tr>
      <w:tr>
        <w:trPr>
          <w:cantSplit/>
        </w:trPr>
        <w:tc>
          <w:tcPr>
            <w:tcW w:type="dxa" w:w="542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Descuentos de ley</w:t>
            </w:r>
          </w:p>
        </w:tc>
        <w:tc>
          <w:tcPr>
            <w:tcW w:type="dxa" w:w="149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right"/>
            </w:pPr>
            <w:r>
              <w:rPr>
                <w:sz w:val="18"/>
                <w:szCs w:val="18"/>
              </w:rPr>
              <w:t xml:space="preserve">205.00</w:t>
            </w:r>
          </w:p>
        </w:tc>
        <w:tc>
          <w:tcPr>
            <w:tcW w:type="dxa" w:w="243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Boletas</w:t>
            </w:r>
          </w:p>
        </w:tc>
      </w:tr>
      <w:tr>
        <w:trPr>
          <w:cantSplit/>
        </w:trPr>
        <w:tc>
          <w:tcPr>
            <w:tcW w:type="dxa" w:w="542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Ingreso neto</w:t>
            </w:r>
          </w:p>
        </w:tc>
        <w:tc>
          <w:tcPr>
            <w:tcW w:type="dxa" w:w="149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right"/>
            </w:pPr>
            <w:r>
              <w:rPr>
                <w:sz w:val="18"/>
                <w:szCs w:val="18"/>
              </w:rPr>
              <w:t xml:space="preserve">1,195.00</w:t>
            </w:r>
          </w:p>
        </w:tc>
        <w:tc>
          <w:tcPr>
            <w:tcW w:type="dxa" w:w="243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Boletas = abonos en cuenta</w:t>
            </w:r>
          </w:p>
        </w:tc>
      </w:tr>
      <w:tr>
        <w:trPr>
          <w:cantSplit/>
        </w:trPr>
        <w:tc>
          <w:tcPr>
            <w:tcW w:type="dxa" w:w="542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Gastos esenciales (alquiler 180, alimentación 200, servicios 55, transporte 50, salud/educación 35)</w:t>
            </w:r>
          </w:p>
        </w:tc>
        <w:tc>
          <w:tcPr>
            <w:tcW w:type="dxa" w:w="149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right"/>
            </w:pPr>
            <w:r>
              <w:rPr>
                <w:sz w:val="18"/>
                <w:szCs w:val="18"/>
              </w:rPr>
              <w:t xml:space="preserve">520.00</w:t>
            </w:r>
          </w:p>
        </w:tc>
        <w:tc>
          <w:tcPr>
            <w:tcW w:type="dxa" w:w="243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Declaración; mínimo institucional US$480</w:t>
            </w:r>
          </w:p>
        </w:tc>
      </w:tr>
      <w:tr>
        <w:trPr>
          <w:cantSplit/>
        </w:trPr>
        <w:tc>
          <w:tcPr>
            <w:tcW w:type="dxa" w:w="542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Tarjeta de crédito: saldo US$1,200, cuota considerada 5 % del saldo</w:t>
            </w:r>
          </w:p>
        </w:tc>
        <w:tc>
          <w:tcPr>
            <w:tcW w:type="dxa" w:w="149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right"/>
            </w:pPr>
            <w:r>
              <w:rPr>
                <w:sz w:val="18"/>
                <w:szCs w:val="18"/>
              </w:rPr>
              <w:t xml:space="preserve">60.00</w:t>
            </w:r>
          </w:p>
        </w:tc>
        <w:tc>
          <w:tcPr>
            <w:tcW w:type="dxa" w:w="243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Historial crediticio</w:t>
            </w:r>
          </w:p>
        </w:tc>
      </w:tr>
    </w:tbl>
    <w:p>
      <w:pPr>
        <w:spacing w:after="120"/>
      </w:pPr>
    </w:p>
    <w:p>
      <w:pPr>
        <w:pStyle w:val="Heading3"/>
        <w:keepNext/>
      </w:pPr>
      <w:r>
        <w:t xml:space="preserve">Cálculos paso a paso</w:t>
      </w:r>
    </w:p>
    <w:p>
      <w:pPr>
        <w:pStyle w:val="ListParagraph"/>
        <w:numPr>
          <w:ilvl w:val="0"/>
          <w:numId w:val="27"/>
        </w:numPr>
        <w:spacing w:after="60"/>
        <w:jc w:val="left"/>
      </w:pPr>
      <w:r>
        <w:t xml:space="preserve">Cuota: i = 0.16 ÷ 12 = 0.013333; (1.013333)^(−48) = 0.529527; cuota = 6,000 × 0.013333 ÷ (1 − 0.529527) = 80.00 ÷ 0.470473 = </w:t>
      </w:r>
      <w:r>
        <w:rPr>
          <w:b/>
          <w:bCs/>
        </w:rPr>
        <w:t xml:space="preserve">US$170.04</w:t>
      </w:r>
      <w:r>
        <w:t xml:space="preserve">.</w:t>
      </w:r>
    </w:p>
    <w:p>
      <w:pPr>
        <w:pStyle w:val="ListParagraph"/>
        <w:numPr>
          <w:ilvl w:val="0"/>
          <w:numId w:val="27"/>
        </w:numPr>
        <w:spacing w:after="60"/>
        <w:jc w:val="left"/>
      </w:pPr>
      <w:r>
        <w:t xml:space="preserve">Ingreso neto disponible = 1,195.00 − 520.00 = </w:t>
      </w:r>
      <w:r>
        <w:rPr>
          <w:b/>
          <w:bCs/>
        </w:rPr>
        <w:t xml:space="preserve">US$675.00</w:t>
      </w:r>
      <w:r>
        <w:t xml:space="preserve">.</w:t>
      </w:r>
    </w:p>
    <w:p>
      <w:pPr>
        <w:pStyle w:val="ListParagraph"/>
        <w:numPr>
          <w:ilvl w:val="0"/>
          <w:numId w:val="27"/>
        </w:numPr>
        <w:spacing w:after="60"/>
        <w:jc w:val="left"/>
      </w:pPr>
      <w:r>
        <w:t xml:space="preserve">Relación deuda-ingreso = (60.00 + 170.04) ÷ 1,195.00 × 100 = 230.04 ÷ 1,195.00 × 100 = </w:t>
      </w:r>
      <w:r>
        <w:rPr>
          <w:b/>
          <w:bCs/>
        </w:rPr>
        <w:t xml:space="preserve">19.25 %</w:t>
      </w:r>
      <w:r>
        <w:t xml:space="preserve">.</w:t>
      </w:r>
    </w:p>
    <w:p>
      <w:pPr>
        <w:pStyle w:val="ListParagraph"/>
        <w:numPr>
          <w:ilvl w:val="0"/>
          <w:numId w:val="27"/>
        </w:numPr>
        <w:spacing w:after="60"/>
        <w:jc w:val="left"/>
      </w:pPr>
      <w:r>
        <w:t xml:space="preserve">Capacidad residual = 1,195.00 − 520.00 − 60.00 − 170.04 = </w:t>
      </w:r>
      <w:r>
        <w:rPr>
          <w:b/>
          <w:bCs/>
        </w:rPr>
        <w:t xml:space="preserve">US$444.96</w:t>
      </w:r>
      <w:r>
        <w:t xml:space="preserve"> (444.96 ÷ 1,195.00 = 37.2 % del ingreso neto).</w:t>
      </w:r>
    </w:p>
    <w:p>
      <w:pPr>
        <w:pStyle w:val="Heading3"/>
        <w:keepNext/>
      </w:pPr>
      <w:r>
        <w:t xml:space="preserve">Indicadores, riesgos y señales de alerta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3276"/>
        <w:gridCol w:w="3276"/>
      </w:tblGrid>
      <w:tr>
        <w:trPr>
          <w:cantSplit/>
          <w:tblHeader/>
        </w:trPr>
        <w:tc>
          <w:tcPr>
            <w:tcW w:type="dxa" w:w="2808"/>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Indicador</w:t>
            </w:r>
          </w:p>
        </w:tc>
        <w:tc>
          <w:tcPr>
            <w:tcW w:type="dxa" w:w="327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Resultado</w:t>
            </w:r>
          </w:p>
        </w:tc>
        <w:tc>
          <w:tcPr>
            <w:tcW w:type="dxa" w:w="327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Lectura</w:t>
            </w:r>
          </w:p>
        </w:tc>
      </w:tr>
      <w:tr>
        <w:trPr>
          <w:cantSplit/>
        </w:trPr>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Relación deuda-ingreso</w:t>
            </w:r>
          </w:p>
        </w:tc>
        <w:tc>
          <w:tcPr>
            <w:tcW w:type="dxa" w:w="327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19.25 %</w:t>
            </w:r>
          </w:p>
        </w:tc>
        <w:tc>
          <w:tcPr>
            <w:tcW w:type="dxa" w:w="327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Zona holgada</w:t>
            </w:r>
          </w:p>
        </w:tc>
      </w:tr>
      <w:tr>
        <w:trPr>
          <w:cantSplit/>
        </w:trPr>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Capacidad residual</w:t>
            </w:r>
          </w:p>
        </w:tc>
        <w:tc>
          <w:tcPr>
            <w:tcW w:type="dxa" w:w="327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US$444.96 (37.2 %)</w:t>
            </w:r>
          </w:p>
        </w:tc>
        <w:tc>
          <w:tcPr>
            <w:tcW w:type="dxa" w:w="327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Zona holgada</w:t>
            </w:r>
          </w:p>
        </w:tc>
      </w:tr>
      <w:tr>
        <w:trPr>
          <w:cantSplit/>
        </w:trPr>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Historial</w:t>
            </w:r>
          </w:p>
        </w:tc>
        <w:tc>
          <w:tcPr>
            <w:tcW w:type="dxa" w:w="327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Sin atrasos 24 meses</w:t>
            </w:r>
          </w:p>
        </w:tc>
        <w:tc>
          <w:tcPr>
            <w:tcW w:type="dxa" w:w="327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Favorable</w:t>
            </w:r>
          </w:p>
        </w:tc>
      </w:tr>
      <w:tr>
        <w:trPr>
          <w:cantSplit/>
        </w:trPr>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Señales de alerta</w:t>
            </w:r>
          </w:p>
        </w:tc>
        <w:tc>
          <w:tcPr>
            <w:tcW w:type="dxa" w:w="327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Ninguna relevante</w:t>
            </w:r>
          </w:p>
        </w:tc>
        <w:tc>
          <w:tcPr>
            <w:tcW w:type="dxa" w:w="327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Datos coinciden entre fuentes</w:t>
            </w:r>
          </w:p>
        </w:tc>
      </w:tr>
      <w:tr>
        <w:trPr>
          <w:cantSplit/>
        </w:trPr>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Riesgos principales</w:t>
            </w:r>
          </w:p>
        </w:tc>
        <w:tc>
          <w:tcPr>
            <w:tcW w:type="dxa" w:w="327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Pérdida de empleo (moderado); incumplimiento (residual moderado)</w:t>
            </w:r>
          </w:p>
        </w:tc>
        <w:tc>
          <w:tcPr>
            <w:tcW w:type="dxa" w:w="327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Mitigados por antigüedad y débito automático</w:t>
            </w:r>
          </w:p>
        </w:tc>
      </w:tr>
    </w:tbl>
    <w:p>
      <w:pPr>
        <w:spacing w:after="120"/>
      </w:pPr>
    </w:p>
    <w:p>
      <w:pPr>
        <w:pStyle w:val="Heading3"/>
        <w:keepNext/>
      </w:pPr>
      <w:r>
        <w:t xml:space="preserve">Garantías</w:t>
      </w:r>
    </w:p>
    <w:p>
      <w:pPr>
        <w:keepNext w:val="false"/>
        <w:spacing w:after="120" w:before="0"/>
        <w:jc w:val="both"/>
      </w:pPr>
      <w:r>
        <w:t xml:space="preserve">No hay garantía real; el producto se otorga con firma del deudor y débito automático, según la política supuesta del producto.</w:t>
      </w:r>
    </w:p>
    <w:p>
      <w:pPr>
        <w:pStyle w:val="Heading3"/>
        <w:keepNext/>
      </w:pPr>
      <w:r>
        <w:t xml:space="preserve">Escenario adverso</w:t>
      </w:r>
    </w:p>
    <w:p>
      <w:pPr>
        <w:keepNext w:val="false"/>
        <w:spacing w:after="120" w:before="0"/>
        <w:jc w:val="both"/>
      </w:pPr>
      <w:r>
        <w:t xml:space="preserve">Ingreso −10 % (US$1,075.50) y gastos +10 % (US$572.00): capacidad residual = 1,075.50 − 572.00 − 60.00 − 170.04 = </w:t>
      </w:r>
      <w:r>
        <w:rPr>
          <w:b/>
          <w:bCs/>
        </w:rPr>
        <w:t xml:space="preserve">US$273.46</w:t>
      </w:r>
      <w:r>
        <w:t xml:space="preserve">; relación deuda-ingreso = 230.04 ÷ 1,075.50 × 100 = </w:t>
      </w:r>
      <w:r>
        <w:rPr>
          <w:b/>
          <w:bCs/>
        </w:rPr>
        <w:t xml:space="preserve">21.39 %</w:t>
      </w:r>
      <w:r>
        <w:t xml:space="preserve">.</w:t>
      </w:r>
    </w:p>
    <w:p>
      <w:pPr>
        <w:pStyle w:val="Heading3"/>
        <w:keepNext/>
      </w:pPr>
      <w:r>
        <w:t xml:space="preserve">Recomendación y justificación</w:t>
      </w:r>
    </w:p>
    <w:p>
      <w:pPr>
        <w:keepNext w:val="false"/>
        <w:spacing w:after="120" w:before="0"/>
        <w:jc w:val="both"/>
      </w:pPr>
      <w:r>
        <w:rPr>
          <w:b/>
          <w:bCs/>
        </w:rPr>
        <w:t xml:space="preserve">FAVORABLE.</w:t>
      </w:r>
      <w:r>
        <w:t xml:space="preserve"> La capacidad residual es amplia (US$444.96) y se mantiene positiva en el escenario adverso (US$273.46); el endeudamiento es bajo (19.25 %); el historial es limpio; la documentación está completa y verificada. Puntuación interna: 83/100 (Capítulo 10). Condición: débito automático de la cuota.</w:t>
      </w:r>
    </w:p>
    <w:p>
      <w:pPr>
        <w:pStyle w:val="Heading2"/>
        <w:keepNext/>
      </w:pPr>
      <w:r>
        <w:t xml:space="preserve">16.2 Caso 2: profesional independiente con ingresos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77C02" w:sz="4"/>
              <w:left w:val="single" w:color="C77C02" w:sz="24"/>
              <w:bottom w:val="single" w:color="C77C02" w:sz="4"/>
              <w:right w:val="single" w:color="C77C02" w:sz="4"/>
            </w:tcBorders>
            <w:shd w:fill="FFF4E0" w:color="auto" w:val="clear"/>
            <w:tcMar>
              <w:top w:type="dxa" w:w="100"/>
              <w:left w:type="dxa" w:w="180"/>
              <w:bottom w:type="dxa" w:w="100"/>
              <w:right w:type="dxa" w:w="180"/>
            </w:tcMar>
          </w:tcPr>
          <w:p>
            <w:pPr>
              <w:spacing w:after="60"/>
            </w:pPr>
            <w:r>
              <w:rPr>
                <w:b/>
                <w:bCs/>
                <w:color w:val="C77C02"/>
                <w:sz w:val="20"/>
                <w:szCs w:val="20"/>
              </w:rPr>
              <w:t xml:space="preserve">Aviso</w:t>
            </w:r>
          </w:p>
          <w:p>
            <w:pPr>
              <w:spacing w:after="50"/>
              <w:jc w:val="left"/>
            </w:pPr>
            <w:r>
              <w:rPr>
                <w:sz w:val="20"/>
                <w:szCs w:val="20"/>
              </w:rPr>
              <w:t xml:space="preserve">Caso </w:t>
            </w:r>
            <w:r>
              <w:rPr>
                <w:b/>
                <w:bCs/>
                <w:sz w:val="20"/>
                <w:szCs w:val="20"/>
              </w:rPr>
              <w:t xml:space="preserve">ficticio</w:t>
            </w:r>
            <w:r>
              <w:rPr>
                <w:sz w:val="20"/>
                <w:szCs w:val="20"/>
              </w:rPr>
              <w:t xml:space="preserve">. Nombres, cifras y documentos son inventados con fines didácticos. Los parámetros (gastos mínimos, criterio de cuota de tarjetas, rangos) son supuestos metodológicos.</w:t>
            </w:r>
          </w:p>
        </w:tc>
      </w:tr>
    </w:tbl>
    <w:p>
      <w:pPr>
        <w:spacing w:after="120"/>
      </w:pPr>
    </w:p>
    <w:p>
      <w:pPr>
        <w:pStyle w:val="Heading3"/>
        <w:keepNext/>
      </w:pPr>
      <w:r>
        <w:t xml:space="preserve">Perfil del solicitante</w:t>
      </w:r>
    </w:p>
    <w:p>
      <w:pPr>
        <w:keepNext w:val="false"/>
        <w:spacing w:after="120" w:before="0"/>
        <w:jc w:val="both"/>
      </w:pPr>
      <w:r>
        <w:t xml:space="preserve">Roberto Antonio Hernández, 41 años, contador público independiente con 8 años de ejercicio en Santa Ana. Atiende a 14 clientes; el mayor representa 35 % de sus honorarios. Hogar de 4 personas en vivienda propia sin hipoteca.</w:t>
      </w:r>
    </w:p>
    <w:p>
      <w:pPr>
        <w:pStyle w:val="Heading3"/>
        <w:keepNext/>
      </w:pPr>
      <w:r>
        <w:t xml:space="preserve">Solicitud, datos y documentos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6552"/>
      </w:tblGrid>
      <w:tr>
        <w:trPr>
          <w:cantSplit/>
        </w:trPr>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8"/>
                <w:szCs w:val="18"/>
              </w:rPr>
              <w:t xml:space="preserve">Monto / plazo / tasa</w:t>
            </w:r>
          </w:p>
        </w:tc>
        <w:tc>
          <w:tcPr>
            <w:tcW w:type="dxa" w:w="65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8"/>
                <w:szCs w:val="18"/>
              </w:rPr>
              <w:t xml:space="preserve">US$15,000 / 60 meses / 15 % nominal anual</w:t>
            </w:r>
          </w:p>
        </w:tc>
      </w:tr>
      <w:tr>
        <w:trPr>
          <w:cantSplit/>
        </w:trPr>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8"/>
                <w:szCs w:val="18"/>
              </w:rPr>
              <w:t xml:space="preserve">Destino</w:t>
            </w:r>
          </w:p>
        </w:tc>
        <w:tc>
          <w:tcPr>
            <w:tcW w:type="dxa" w:w="65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8"/>
                <w:szCs w:val="18"/>
              </w:rPr>
              <w:t xml:space="preserve">Equipo informático y remodelación de su oficina (cotizaciones por US$15,400)</w:t>
            </w:r>
          </w:p>
        </w:tc>
      </w:tr>
      <w:tr>
        <w:trPr>
          <w:cantSplit/>
        </w:trPr>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b/>
                <w:bCs/>
                <w:sz w:val="18"/>
                <w:szCs w:val="18"/>
              </w:rPr>
              <w:t xml:space="preserve">Documentos</w:t>
            </w:r>
          </w:p>
        </w:tc>
        <w:tc>
          <w:tcPr>
            <w:tcW w:type="dxa" w:w="65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b w:val="false"/>
                <w:bCs w:val="false"/>
                <w:sz w:val="18"/>
                <w:szCs w:val="18"/>
              </w:rPr>
              <w:t xml:space="preserve">DUI, credencial profesional, declaraciones de renta de 2 años, 12 estados de cuenta, comprobantes de retención, contratos con los 5 principales clientes, reporte de historial</w:t>
            </w:r>
          </w:p>
        </w:tc>
      </w:tr>
    </w:tbl>
    <w:p>
      <w:pPr>
        <w:spacing w:after="120"/>
      </w:pPr>
    </w:p>
    <w:p>
      <w:pPr>
        <w:pStyle w:val="Heading3"/>
        <w:keepNext/>
      </w:pPr>
      <w:r>
        <w:t xml:space="preserve">Ingresos de 12 meses (honorarios cobrados, según depósitos)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4"/>
        <w:gridCol w:w="717"/>
        <w:gridCol w:w="717"/>
        <w:gridCol w:w="717"/>
        <w:gridCol w:w="717"/>
        <w:gridCol w:w="717"/>
        <w:gridCol w:w="717"/>
        <w:gridCol w:w="717"/>
        <w:gridCol w:w="717"/>
        <w:gridCol w:w="717"/>
        <w:gridCol w:w="717"/>
        <w:gridCol w:w="717"/>
        <w:gridCol w:w="719"/>
      </w:tblGrid>
      <w:tr>
        <w:trPr>
          <w:cantSplit/>
          <w:tblHeader/>
        </w:trPr>
        <w:tc>
          <w:tcPr>
            <w:tcW w:type="dxa" w:w="754"/>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5"/>
                <w:szCs w:val="15"/>
              </w:rPr>
              <w:t xml:space="preserve">Mes</w:t>
            </w:r>
          </w:p>
        </w:tc>
        <w:tc>
          <w:tcPr>
            <w:tcW w:type="dxa" w:w="717"/>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5"/>
                <w:szCs w:val="15"/>
              </w:rPr>
              <w:t xml:space="preserve">oct-25</w:t>
            </w:r>
          </w:p>
        </w:tc>
        <w:tc>
          <w:tcPr>
            <w:tcW w:type="dxa" w:w="717"/>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5"/>
                <w:szCs w:val="15"/>
              </w:rPr>
              <w:t xml:space="preserve">nov-25</w:t>
            </w:r>
          </w:p>
        </w:tc>
        <w:tc>
          <w:tcPr>
            <w:tcW w:type="dxa" w:w="717"/>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5"/>
                <w:szCs w:val="15"/>
              </w:rPr>
              <w:t xml:space="preserve">dic-25</w:t>
            </w:r>
          </w:p>
        </w:tc>
        <w:tc>
          <w:tcPr>
            <w:tcW w:type="dxa" w:w="717"/>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5"/>
                <w:szCs w:val="15"/>
              </w:rPr>
              <w:t xml:space="preserve">ene-26</w:t>
            </w:r>
          </w:p>
        </w:tc>
        <w:tc>
          <w:tcPr>
            <w:tcW w:type="dxa" w:w="717"/>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5"/>
                <w:szCs w:val="15"/>
              </w:rPr>
              <w:t xml:space="preserve">feb-26</w:t>
            </w:r>
          </w:p>
        </w:tc>
        <w:tc>
          <w:tcPr>
            <w:tcW w:type="dxa" w:w="717"/>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5"/>
                <w:szCs w:val="15"/>
              </w:rPr>
              <w:t xml:space="preserve">mar-26</w:t>
            </w:r>
          </w:p>
        </w:tc>
        <w:tc>
          <w:tcPr>
            <w:tcW w:type="dxa" w:w="717"/>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5"/>
                <w:szCs w:val="15"/>
              </w:rPr>
              <w:t xml:space="preserve">abr-26</w:t>
            </w:r>
          </w:p>
        </w:tc>
        <w:tc>
          <w:tcPr>
            <w:tcW w:type="dxa" w:w="717"/>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5"/>
                <w:szCs w:val="15"/>
              </w:rPr>
              <w:t xml:space="preserve">may-26</w:t>
            </w:r>
          </w:p>
        </w:tc>
        <w:tc>
          <w:tcPr>
            <w:tcW w:type="dxa" w:w="717"/>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5"/>
                <w:szCs w:val="15"/>
              </w:rPr>
              <w:t xml:space="preserve">jun-26</w:t>
            </w:r>
          </w:p>
        </w:tc>
        <w:tc>
          <w:tcPr>
            <w:tcW w:type="dxa" w:w="717"/>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5"/>
                <w:szCs w:val="15"/>
              </w:rPr>
              <w:t xml:space="preserve">jul-26</w:t>
            </w:r>
          </w:p>
        </w:tc>
        <w:tc>
          <w:tcPr>
            <w:tcW w:type="dxa" w:w="717"/>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5"/>
                <w:szCs w:val="15"/>
              </w:rPr>
              <w:t xml:space="preserve">ago-26</w:t>
            </w:r>
          </w:p>
        </w:tc>
        <w:tc>
          <w:tcPr>
            <w:tcW w:type="dxa" w:w="71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5"/>
                <w:szCs w:val="15"/>
              </w:rPr>
              <w:t xml:space="preserve">sep-26</w:t>
            </w:r>
          </w:p>
        </w:tc>
      </w:tr>
      <w:tr>
        <w:trPr>
          <w:cantSplit/>
        </w:trPr>
        <w:tc>
          <w:tcPr>
            <w:tcW w:type="dxa" w:w="75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US$</w:t>
            </w:r>
          </w:p>
        </w:tc>
        <w:tc>
          <w:tcPr>
            <w:tcW w:type="dxa" w:w="71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2,900</w:t>
            </w:r>
          </w:p>
        </w:tc>
        <w:tc>
          <w:tcPr>
            <w:tcW w:type="dxa" w:w="71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3,400</w:t>
            </w:r>
          </w:p>
        </w:tc>
        <w:tc>
          <w:tcPr>
            <w:tcW w:type="dxa" w:w="71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2,100</w:t>
            </w:r>
          </w:p>
        </w:tc>
        <w:tc>
          <w:tcPr>
            <w:tcW w:type="dxa" w:w="71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3,800</w:t>
            </w:r>
          </w:p>
        </w:tc>
        <w:tc>
          <w:tcPr>
            <w:tcW w:type="dxa" w:w="71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2,600</w:t>
            </w:r>
          </w:p>
        </w:tc>
        <w:tc>
          <w:tcPr>
            <w:tcW w:type="dxa" w:w="71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1,900</w:t>
            </w:r>
          </w:p>
        </w:tc>
        <w:tc>
          <w:tcPr>
            <w:tcW w:type="dxa" w:w="71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3,100</w:t>
            </w:r>
          </w:p>
        </w:tc>
        <w:tc>
          <w:tcPr>
            <w:tcW w:type="dxa" w:w="71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4,200</w:t>
            </w:r>
          </w:p>
        </w:tc>
        <w:tc>
          <w:tcPr>
            <w:tcW w:type="dxa" w:w="71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2,500</w:t>
            </w:r>
          </w:p>
        </w:tc>
        <w:tc>
          <w:tcPr>
            <w:tcW w:type="dxa" w:w="71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2,300</w:t>
            </w:r>
          </w:p>
        </w:tc>
        <w:tc>
          <w:tcPr>
            <w:tcW w:type="dxa" w:w="71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3,600</w:t>
            </w:r>
          </w:p>
        </w:tc>
        <w:tc>
          <w:tcPr>
            <w:tcW w:type="dxa" w:w="71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5"/>
                <w:szCs w:val="15"/>
              </w:rPr>
              <w:t xml:space="preserve">2,800</w:t>
            </w:r>
          </w:p>
        </w:tc>
      </w:tr>
    </w:tbl>
    <w:p>
      <w:pPr>
        <w:spacing w:after="120"/>
      </w:pPr>
    </w:p>
    <w:p>
      <w:pPr>
        <w:pStyle w:val="Heading3"/>
        <w:keepNext/>
      </w:pPr>
      <w:r>
        <w:t xml:space="preserve">Cálculos paso a paso</w:t>
      </w:r>
    </w:p>
    <w:p>
      <w:pPr>
        <w:pStyle w:val="ListParagraph"/>
        <w:numPr>
          <w:ilvl w:val="0"/>
          <w:numId w:val="28"/>
        </w:numPr>
        <w:spacing w:after="60"/>
        <w:jc w:val="left"/>
      </w:pPr>
      <w:r>
        <w:t xml:space="preserve">Promedio simple = 35,200 ÷ 12 = </w:t>
      </w:r>
      <w:r>
        <w:rPr>
          <w:b/>
          <w:bCs/>
        </w:rPr>
        <w:t xml:space="preserve">US$2,933.33</w:t>
      </w:r>
      <w:r>
        <w:t xml:space="preserve">.</w:t>
      </w:r>
    </w:p>
    <w:p>
      <w:pPr>
        <w:pStyle w:val="ListParagraph"/>
        <w:numPr>
          <w:ilvl w:val="0"/>
          <w:numId w:val="28"/>
        </w:numPr>
        <w:spacing w:after="60"/>
        <w:jc w:val="left"/>
      </w:pPr>
      <w:r>
        <w:t xml:space="preserve">Desviación estándar (poblacional) = </w:t>
      </w:r>
      <w:r>
        <w:rPr>
          <w:b/>
          <w:bCs/>
        </w:rPr>
        <w:t xml:space="preserve">US$678.64</w:t>
      </w:r>
      <w:r>
        <w:t xml:space="preserve">; coeficiente de variación = 678.64 ÷ 2,933.33 = </w:t>
      </w:r>
      <w:r>
        <w:rPr>
          <w:b/>
          <w:bCs/>
        </w:rPr>
        <w:t xml:space="preserve">0.23</w:t>
      </w:r>
      <w:r>
        <w:t xml:space="preserve"> (variabilidad moderada).</w:t>
      </w:r>
    </w:p>
    <w:p>
      <w:pPr>
        <w:pStyle w:val="ListParagraph"/>
        <w:numPr>
          <w:ilvl w:val="0"/>
          <w:numId w:val="28"/>
        </w:numPr>
        <w:spacing w:after="60"/>
        <w:jc w:val="left"/>
      </w:pPr>
      <w:r>
        <w:t xml:space="preserve">Mínimo US$1,900 (mar-26); máximo US$4,200 (may-26).</w:t>
      </w:r>
    </w:p>
    <w:p>
      <w:pPr>
        <w:pStyle w:val="ListParagraph"/>
        <w:numPr>
          <w:ilvl w:val="0"/>
          <w:numId w:val="28"/>
        </w:numPr>
        <w:spacing w:after="60"/>
        <w:jc w:val="left"/>
      </w:pPr>
      <w:r>
        <w:t xml:space="preserve">Base conservadora (criterio supuesto de política): promedio de los 6 meses más bajos = (1,900 + 2,100 + 2,300 + 2,500 + 2,600 + 2,800) ÷ 6 = 14,200 ÷ 6 = </w:t>
      </w:r>
      <w:r>
        <w:rPr>
          <w:b/>
          <w:bCs/>
        </w:rPr>
        <w:t xml:space="preserve">US$2,366.67</w:t>
      </w:r>
      <w:r>
        <w:t xml:space="preserve">.</w:t>
      </w:r>
    </w:p>
    <w:p>
      <w:pPr>
        <w:pStyle w:val="ListParagraph"/>
        <w:numPr>
          <w:ilvl w:val="0"/>
          <w:numId w:val="28"/>
        </w:numPr>
        <w:spacing w:after="60"/>
        <w:jc w:val="left"/>
      </w:pPr>
      <w:r>
        <w:t xml:space="preserve">Retenciones e impuestos observados en comprobantes (supuesto del caso: 10 % de los honorarios) = 2,366.67 × 0.10 = </w:t>
      </w:r>
      <w:r>
        <w:rPr>
          <w:b/>
          <w:bCs/>
        </w:rPr>
        <w:t xml:space="preserve">US$236.67</w:t>
      </w:r>
      <w:r>
        <w:t xml:space="preserve">.</w:t>
      </w:r>
    </w:p>
    <w:p>
      <w:pPr>
        <w:pStyle w:val="ListParagraph"/>
        <w:numPr>
          <w:ilvl w:val="0"/>
          <w:numId w:val="28"/>
        </w:numPr>
        <w:spacing w:after="60"/>
        <w:jc w:val="left"/>
      </w:pPr>
      <w:r>
        <w:t xml:space="preserve">Gastos de la actividad: oficina 250 + software 80 + transporte 150 + asistente a medio tiempo 170 = </w:t>
      </w:r>
      <w:r>
        <w:rPr>
          <w:b/>
          <w:bCs/>
        </w:rPr>
        <w:t xml:space="preserve">US$650.00</w:t>
      </w:r>
      <w:r>
        <w:t xml:space="preserve">.</w:t>
      </w:r>
    </w:p>
    <w:p>
      <w:pPr>
        <w:pStyle w:val="ListParagraph"/>
        <w:numPr>
          <w:ilvl w:val="0"/>
          <w:numId w:val="28"/>
        </w:numPr>
        <w:spacing w:after="60"/>
        <w:jc w:val="left"/>
      </w:pPr>
      <w:r>
        <w:t xml:space="preserve">Ingreso neto conservador = 2,366.67 − 236.67 − 650.00 = </w:t>
      </w:r>
      <w:r>
        <w:rPr>
          <w:b/>
          <w:bCs/>
        </w:rPr>
        <w:t xml:space="preserve">US$1,480.00</w:t>
      </w:r>
      <w:r>
        <w:t xml:space="preserve">.</w:t>
      </w:r>
    </w:p>
    <w:p>
      <w:pPr>
        <w:pStyle w:val="ListParagraph"/>
        <w:numPr>
          <w:ilvl w:val="0"/>
          <w:numId w:val="28"/>
        </w:numPr>
        <w:spacing w:after="60"/>
        <w:jc w:val="left"/>
      </w:pPr>
      <w:r>
        <w:t xml:space="preserve">Gastos esenciales del hogar: </w:t>
      </w:r>
      <w:r>
        <w:rPr>
          <w:b/>
          <w:bCs/>
        </w:rPr>
        <w:t xml:space="preserve">US$640.00</w:t>
      </w:r>
      <w:r>
        <w:t xml:space="preserve"> (declarado; superior al mínimo institucional). Tarjeta de crédito: </w:t>
      </w:r>
      <w:r>
        <w:rPr>
          <w:b/>
          <w:bCs/>
        </w:rPr>
        <w:t xml:space="preserve">US$45.00</w:t>
      </w:r>
      <w:r>
        <w:t xml:space="preserve">.</w:t>
      </w:r>
    </w:p>
    <w:p>
      <w:pPr>
        <w:pStyle w:val="ListParagraph"/>
        <w:numPr>
          <w:ilvl w:val="0"/>
          <w:numId w:val="28"/>
        </w:numPr>
        <w:spacing w:after="60"/>
        <w:jc w:val="left"/>
      </w:pPr>
      <w:r>
        <w:t xml:space="preserve">Cuota: i = 0.15 ÷ 12 = 0.0125; cuota = 15,000 × 0.0125 ÷ [1 − (1.0125)^(−60)] = </w:t>
      </w:r>
      <w:r>
        <w:rPr>
          <w:b/>
          <w:bCs/>
        </w:rPr>
        <w:t xml:space="preserve">US$356.85</w:t>
      </w:r>
      <w:r>
        <w:t xml:space="preserve">.</w:t>
      </w:r>
    </w:p>
    <w:p>
      <w:pPr>
        <w:pStyle w:val="ListParagraph"/>
        <w:numPr>
          <w:ilvl w:val="0"/>
          <w:numId w:val="28"/>
        </w:numPr>
        <w:spacing w:after="60"/>
        <w:jc w:val="left"/>
      </w:pPr>
      <w:r>
        <w:t xml:space="preserve">Relación deuda-ingreso = (45.00 + 356.85) ÷ 1,480.00 × 100 = </w:t>
      </w:r>
      <w:r>
        <w:rPr>
          <w:b/>
          <w:bCs/>
        </w:rPr>
        <w:t xml:space="preserve">27.15 %</w:t>
      </w:r>
      <w:r>
        <w:t xml:space="preserve">.</w:t>
      </w:r>
    </w:p>
    <w:p>
      <w:pPr>
        <w:pStyle w:val="ListParagraph"/>
        <w:numPr>
          <w:ilvl w:val="0"/>
          <w:numId w:val="28"/>
        </w:numPr>
        <w:spacing w:after="60"/>
        <w:jc w:val="left"/>
      </w:pPr>
      <w:r>
        <w:t xml:space="preserve">Capacidad residual = 1,480.00 − 640.00 − 45.00 − 356.85 = </w:t>
      </w:r>
      <w:r>
        <w:rPr>
          <w:b/>
          <w:bCs/>
        </w:rPr>
        <w:t xml:space="preserve">US$438.15</w:t>
      </w:r>
      <w:r>
        <w:t xml:space="preserve"> (29.6 % del ingreso neto conservador).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B23B2A" w:sz="4"/>
              <w:left w:val="single" w:color="B23B2A" w:sz="24"/>
              <w:bottom w:val="single" w:color="B23B2A" w:sz="4"/>
              <w:right w:val="single" w:color="B23B2A" w:sz="4"/>
            </w:tcBorders>
            <w:shd w:fill="FBE9E7" w:color="auto" w:val="clear"/>
            <w:tcMar>
              <w:top w:type="dxa" w:w="100"/>
              <w:left w:type="dxa" w:w="180"/>
              <w:bottom w:type="dxa" w:w="100"/>
              <w:right w:type="dxa" w:w="180"/>
            </w:tcMar>
          </w:tcPr>
          <w:p>
            <w:pPr>
              <w:spacing w:after="60"/>
            </w:pPr>
            <w:r>
              <w:rPr>
                <w:b/>
                <w:bCs/>
                <w:color w:val="B23B2A"/>
                <w:sz w:val="20"/>
                <w:szCs w:val="20"/>
              </w:rPr>
              <w:t xml:space="preserve">Error que se evitó</w:t>
            </w:r>
          </w:p>
          <w:p>
            <w:pPr>
              <w:spacing w:after="50"/>
              <w:jc w:val="left"/>
            </w:pPr>
            <w:r>
              <w:rPr>
                <w:sz w:val="20"/>
                <w:szCs w:val="20"/>
              </w:rPr>
              <w:t xml:space="preserve">Si se hubiera usado el promedio simple (US$2,933.33), el ingreso neto sería 2,933.33 − 293.33 − 650.00 = US$1,990.00 y la capacidad residual US$948.15: </w:t>
            </w:r>
            <w:r>
              <w:rPr>
                <w:b/>
                <w:bCs/>
                <w:sz w:val="20"/>
                <w:szCs w:val="20"/>
              </w:rPr>
              <w:t xml:space="preserve">más del doble</w:t>
            </w:r>
            <w:r>
              <w:rPr>
                <w:sz w:val="20"/>
                <w:szCs w:val="20"/>
              </w:rPr>
              <w:t xml:space="preserve"> de la estimación conservadora. Este es el error típico de sobreestimar ingresos variables.</w:t>
            </w:r>
          </w:p>
        </w:tc>
      </w:tr>
    </w:tbl>
    <w:p>
      <w:pPr>
        <w:spacing w:after="120"/>
      </w:pPr>
    </w:p>
    <w:p>
      <w:pPr>
        <w:pStyle w:val="Heading3"/>
        <w:keepNext/>
      </w:pPr>
      <w:r>
        <w:t xml:space="preserve">Riesgos y señales de alerta</w:t>
      </w:r>
    </w:p>
    <w:p>
      <w:pPr>
        <w:pStyle w:val="ListParagraph"/>
        <w:numPr>
          <w:ilvl w:val="0"/>
          <w:numId w:val="29"/>
        </w:numPr>
        <w:spacing w:after="60"/>
        <w:jc w:val="left"/>
      </w:pPr>
      <w:r>
        <w:t xml:space="preserve">Ingresos variables (CV 0.23) y estacionalidad: los meses de diciembre y marzo son bajos.</w:t>
      </w:r>
    </w:p>
    <w:p>
      <w:pPr>
        <w:pStyle w:val="ListParagraph"/>
        <w:numPr>
          <w:ilvl w:val="0"/>
          <w:numId w:val="29"/>
        </w:numPr>
        <w:spacing w:after="60"/>
        <w:jc w:val="left"/>
      </w:pPr>
      <w:r>
        <w:t xml:space="preserve">Concentración: un cliente aporta 35 % de los honorarios.</w:t>
      </w:r>
    </w:p>
    <w:p>
      <w:pPr>
        <w:pStyle w:val="ListParagraph"/>
        <w:numPr>
          <w:ilvl w:val="0"/>
          <w:numId w:val="29"/>
        </w:numPr>
        <w:spacing w:after="60"/>
        <w:jc w:val="left"/>
      </w:pPr>
      <w:r>
        <w:t xml:space="preserve">Sin garantía real.</w:t>
      </w:r>
    </w:p>
    <w:p>
      <w:pPr>
        <w:pStyle w:val="ListParagraph"/>
        <w:numPr>
          <w:ilvl w:val="0"/>
          <w:numId w:val="29"/>
        </w:numPr>
        <w:spacing w:after="60"/>
        <w:jc w:val="left"/>
      </w:pPr>
      <w:r>
        <w:t xml:space="preserve">Fortalezas: 8 años de trayectoria, historial sin atrasos, declaraciones coherentes con depósitos.</w:t>
      </w:r>
    </w:p>
    <w:p>
      <w:pPr>
        <w:pStyle w:val="Heading3"/>
        <w:keepNext/>
      </w:pPr>
      <w:r>
        <w:t xml:space="preserve">Escenario adverso</w:t>
      </w:r>
    </w:p>
    <w:p>
      <w:pPr>
        <w:keepNext w:val="false"/>
        <w:spacing w:after="120" w:before="0"/>
        <w:jc w:val="both"/>
      </w:pPr>
      <w:r>
        <w:t xml:space="preserve">Peor mes observado (US$1,900): ingreso neto = 1,900 − 190 − 650 = US$1,060; capacidad residual = 1,060 − 640 − 45 − 356.85 = </w:t>
      </w:r>
      <w:r>
        <w:rPr>
          <w:b/>
          <w:bCs/>
        </w:rPr>
        <w:t xml:space="preserve">US$18.15</w:t>
      </w:r>
      <w:r>
        <w:t xml:space="preserve">. El crédito sigue siendo pagable en el peor mes, pero sin margen. Si además se perdiera el cliente principal (35 %), la capacidad sería negativa en los meses bajos.</w:t>
      </w:r>
    </w:p>
    <w:p>
      <w:pPr>
        <w:pStyle w:val="Heading3"/>
        <w:keepNext/>
      </w:pPr>
      <w:r>
        <w:t xml:space="preserve">Recomendación y justificación</w:t>
      </w:r>
    </w:p>
    <w:p>
      <w:pPr>
        <w:keepNext w:val="false"/>
        <w:spacing w:after="120" w:before="0"/>
        <w:jc w:val="both"/>
      </w:pPr>
      <w:r>
        <w:rPr>
          <w:b/>
          <w:bCs/>
        </w:rPr>
        <w:t xml:space="preserve">FAVORABLE CON CONDICIONES.</w:t>
      </w:r>
      <w:r>
        <w:t xml:space="preserve"> Con la base conservadora la capacidad es adecuada (US$438.15; relación deuda-ingreso 27.15 %), pero el escenario del peor mes deja un margen casi nulo. Puntuación interna: capacidad 3, historial 5, estabilidad 3, endeudamiento 4, garantías 1, documentación 4 → 0.90 + 1.00 + 0.45 + 0.60 + 0.10 + 0.40 = 3.45 → </w:t>
      </w:r>
      <w:r>
        <w:rPr>
          <w:b/>
          <w:bCs/>
        </w:rPr>
        <w:t xml:space="preserve">69/100</w:t>
      </w:r>
      <w:r>
        <w:t xml:space="preserve"> (favorable con condiciones).</w:t>
      </w:r>
    </w:p>
    <w:p>
      <w:pPr>
        <w:keepNext w:val="false"/>
        <w:spacing w:after="120" w:before="0"/>
        <w:jc w:val="both"/>
      </w:pPr>
      <w:r>
        <w:t xml:space="preserve">Condiciones sugeridas, sujetas a la política institucional: (a) débito automático; (b) mantener en cuenta vinculada un saldo de reserva equivalente a dos cuotas (2 × 356.85 = US$713.70), si el producto lo contempla; (c) revisión semestral de depósitos; (d) desembolso directo a proveedores contra cotizaciones.</w:t>
      </w:r>
    </w:p>
    <w:p>
      <w:pPr>
        <w:pStyle w:val="Heading2"/>
        <w:keepNext/>
      </w:pPr>
      <w:r>
        <w:t xml:space="preserve">16.3 Caso 3: solicitante con varias obligaciones financieras vigentes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77C02" w:sz="4"/>
              <w:left w:val="single" w:color="C77C02" w:sz="24"/>
              <w:bottom w:val="single" w:color="C77C02" w:sz="4"/>
              <w:right w:val="single" w:color="C77C02" w:sz="4"/>
            </w:tcBorders>
            <w:shd w:fill="FFF4E0" w:color="auto" w:val="clear"/>
            <w:tcMar>
              <w:top w:type="dxa" w:w="100"/>
              <w:left w:type="dxa" w:w="180"/>
              <w:bottom w:type="dxa" w:w="100"/>
              <w:right w:type="dxa" w:w="180"/>
            </w:tcMar>
          </w:tcPr>
          <w:p>
            <w:pPr>
              <w:spacing w:after="60"/>
            </w:pPr>
            <w:r>
              <w:rPr>
                <w:b/>
                <w:bCs/>
                <w:color w:val="C77C02"/>
                <w:sz w:val="20"/>
                <w:szCs w:val="20"/>
              </w:rPr>
              <w:t xml:space="preserve">Aviso</w:t>
            </w:r>
          </w:p>
          <w:p>
            <w:pPr>
              <w:spacing w:after="50"/>
              <w:jc w:val="left"/>
            </w:pPr>
            <w:r>
              <w:rPr>
                <w:sz w:val="20"/>
                <w:szCs w:val="20"/>
              </w:rPr>
              <w:t xml:space="preserve">Caso </w:t>
            </w:r>
            <w:r>
              <w:rPr>
                <w:b/>
                <w:bCs/>
                <w:sz w:val="20"/>
                <w:szCs w:val="20"/>
              </w:rPr>
              <w:t xml:space="preserve">ficticio</w:t>
            </w:r>
            <w:r>
              <w:rPr>
                <w:sz w:val="20"/>
                <w:szCs w:val="20"/>
              </w:rPr>
              <w:t xml:space="preserve">. Nombres, cifras y documentos son inventados con fines didácticos. Los parámetros (gastos mínimos, criterio de cuota de tarjetas, rangos) son supuestos metodológicos.</w:t>
            </w:r>
          </w:p>
        </w:tc>
      </w:tr>
    </w:tbl>
    <w:p>
      <w:pPr>
        <w:spacing w:after="120"/>
      </w:pPr>
    </w:p>
    <w:p>
      <w:pPr>
        <w:pStyle w:val="Heading3"/>
        <w:keepNext/>
      </w:pPr>
      <w:r>
        <w:t xml:space="preserve">Perfil del solicitante</w:t>
      </w:r>
    </w:p>
    <w:p>
      <w:pPr>
        <w:keepNext w:val="false"/>
        <w:spacing w:after="120" w:before="0"/>
        <w:jc w:val="both"/>
      </w:pPr>
      <w:r>
        <w:t xml:space="preserve">Carlos Alberto Pérez, 38 años, técnico de mantenimiento en una empresa industrial de La Libertad desde hace 4 años. Hogar de 4 personas. Solicita un préstamo personal para «compra de mobiliario y gastos personales».</w:t>
      </w:r>
    </w:p>
    <w:p>
      <w:pPr>
        <w:pStyle w:val="Heading3"/>
        <w:keepNext/>
      </w:pPr>
      <w:r>
        <w:t xml:space="preserve">Solicitud, datos y documentos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6552"/>
      </w:tblGrid>
      <w:tr>
        <w:trPr>
          <w:cantSplit/>
        </w:trPr>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8"/>
                <w:szCs w:val="18"/>
              </w:rPr>
              <w:t xml:space="preserve">Monto / plazo / tasa</w:t>
            </w:r>
          </w:p>
        </w:tc>
        <w:tc>
          <w:tcPr>
            <w:tcW w:type="dxa" w:w="65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8"/>
                <w:szCs w:val="18"/>
              </w:rPr>
              <w:t xml:space="preserve">US$8,000 / 36 meses / 18 % nominal anual</w:t>
            </w:r>
          </w:p>
        </w:tc>
      </w:tr>
      <w:tr>
        <w:trPr>
          <w:cantSplit/>
        </w:trPr>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8"/>
                <w:szCs w:val="18"/>
              </w:rPr>
              <w:t xml:space="preserve">Ingreso neto verificado</w:t>
            </w:r>
          </w:p>
        </w:tc>
        <w:tc>
          <w:tcPr>
            <w:tcW w:type="dxa" w:w="65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8"/>
                <w:szCs w:val="18"/>
              </w:rPr>
              <w:t xml:space="preserve">US$1,600.00 (boletas y abonos)</w:t>
            </w:r>
          </w:p>
        </w:tc>
      </w:tr>
      <w:tr>
        <w:trPr>
          <w:cantSplit/>
        </w:trPr>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b/>
                <w:bCs/>
                <w:sz w:val="18"/>
                <w:szCs w:val="18"/>
              </w:rPr>
              <w:t xml:space="preserve">Gastos esenciales</w:t>
            </w:r>
          </w:p>
        </w:tc>
        <w:tc>
          <w:tcPr>
            <w:tcW w:type="dxa" w:w="65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b w:val="false"/>
                <w:bCs w:val="false"/>
                <w:sz w:val="18"/>
                <w:szCs w:val="18"/>
              </w:rPr>
              <w:t xml:space="preserve">US$700.00</w:t>
            </w:r>
          </w:p>
        </w:tc>
      </w:tr>
    </w:tbl>
    <w:p>
      <w:pPr>
        <w:spacing w:after="120"/>
      </w:pPr>
    </w:p>
    <w:p>
      <w:pPr>
        <w:pStyle w:val="Heading3"/>
        <w:keepNext/>
      </w:pPr>
      <w:r>
        <w:t xml:space="preserve">Deudas vigentes (según historial crediticio)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1310"/>
        <w:gridCol w:w="1310"/>
        <w:gridCol w:w="3745"/>
      </w:tblGrid>
      <w:tr>
        <w:trPr>
          <w:cantSplit/>
          <w:tblHeader/>
        </w:trPr>
        <w:tc>
          <w:tcPr>
            <w:tcW w:type="dxa" w:w="2995"/>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Obligación</w:t>
            </w:r>
          </w:p>
        </w:tc>
        <w:tc>
          <w:tcPr>
            <w:tcW w:type="dxa" w:w="131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Saldo US$</w:t>
            </w:r>
          </w:p>
        </w:tc>
        <w:tc>
          <w:tcPr>
            <w:tcW w:type="dxa" w:w="131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Cuota US$</w:t>
            </w:r>
          </w:p>
        </w:tc>
        <w:tc>
          <w:tcPr>
            <w:tcW w:type="dxa" w:w="3745"/>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Observación</w:t>
            </w:r>
          </w:p>
        </w:tc>
      </w:tr>
      <w:tr>
        <w:trPr>
          <w:cantSplit/>
        </w:trPr>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Préstamo personal (Entidad A)</w:t>
            </w:r>
          </w:p>
        </w:tc>
        <w:tc>
          <w:tcPr>
            <w:tcW w:type="dxa" w:w="131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4,200</w:t>
            </w:r>
          </w:p>
        </w:tc>
        <w:tc>
          <w:tcPr>
            <w:tcW w:type="dxa" w:w="131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210.00</w:t>
            </w:r>
          </w:p>
        </w:tc>
        <w:tc>
          <w:tcPr>
            <w:tcW w:type="dxa" w:w="374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Al día</w:t>
            </w:r>
          </w:p>
        </w:tc>
      </w:tr>
      <w:tr>
        <w:trPr>
          <w:cantSplit/>
        </w:trPr>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Tarjeta de crédito 1 (Entidad B)</w:t>
            </w:r>
          </w:p>
        </w:tc>
        <w:tc>
          <w:tcPr>
            <w:tcW w:type="dxa" w:w="131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2,300</w:t>
            </w:r>
          </w:p>
        </w:tc>
        <w:tc>
          <w:tcPr>
            <w:tcW w:type="dxa" w:w="131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95.00</w:t>
            </w:r>
          </w:p>
        </w:tc>
        <w:tc>
          <w:tcPr>
            <w:tcW w:type="dxa" w:w="374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Uso 92 % del límite de US$2,500; atraso de 20 días hace 3 meses</w:t>
            </w:r>
          </w:p>
        </w:tc>
      </w:tr>
      <w:tr>
        <w:trPr>
          <w:cantSplit/>
        </w:trPr>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Tarjeta de crédito 2 (Entidad C)</w:t>
            </w:r>
          </w:p>
        </w:tc>
        <w:tc>
          <w:tcPr>
            <w:tcW w:type="dxa" w:w="131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1,600</w:t>
            </w:r>
          </w:p>
        </w:tc>
        <w:tc>
          <w:tcPr>
            <w:tcW w:type="dxa" w:w="131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70.00</w:t>
            </w:r>
          </w:p>
        </w:tc>
        <w:tc>
          <w:tcPr>
            <w:tcW w:type="dxa" w:w="374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Uso 89 % del límite de US$1,800</w:t>
            </w:r>
          </w:p>
        </w:tc>
      </w:tr>
      <w:tr>
        <w:trPr>
          <w:cantSplit/>
        </w:trPr>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Préstamo de vehículo (Entidad D)</w:t>
            </w:r>
          </w:p>
        </w:tc>
        <w:tc>
          <w:tcPr>
            <w:tcW w:type="dxa" w:w="131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9,800</w:t>
            </w:r>
          </w:p>
        </w:tc>
        <w:tc>
          <w:tcPr>
            <w:tcW w:type="dxa" w:w="131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285.00</w:t>
            </w:r>
          </w:p>
        </w:tc>
        <w:tc>
          <w:tcPr>
            <w:tcW w:type="dxa" w:w="374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Al día; prenda sobre el vehículo</w:t>
            </w:r>
          </w:p>
        </w:tc>
      </w:tr>
      <w:tr>
        <w:trPr>
          <w:cantSplit/>
        </w:trPr>
        <w:tc>
          <w:tcPr>
            <w:tcW w:type="dxa" w:w="2995"/>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r>
              <w:rPr>
                <w:b/>
                <w:bCs/>
                <w:sz w:val="18"/>
                <w:szCs w:val="18"/>
              </w:rPr>
              <w:t xml:space="preserve">Total</w:t>
            </w:r>
          </w:p>
        </w:tc>
        <w:tc>
          <w:tcPr>
            <w:tcW w:type="dxa" w:w="1310"/>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r>
              <w:rPr>
                <w:b/>
                <w:bCs/>
                <w:sz w:val="18"/>
                <w:szCs w:val="18"/>
              </w:rPr>
              <w:t xml:space="preserve">17,900</w:t>
            </w:r>
          </w:p>
        </w:tc>
        <w:tc>
          <w:tcPr>
            <w:tcW w:type="dxa" w:w="1310"/>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r>
              <w:rPr>
                <w:b/>
                <w:bCs/>
                <w:sz w:val="18"/>
                <w:szCs w:val="18"/>
              </w:rPr>
              <w:t xml:space="preserve">660.00</w:t>
            </w:r>
          </w:p>
        </w:tc>
        <w:tc>
          <w:tcPr>
            <w:tcW w:type="dxa" w:w="3745"/>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p>
        </w:tc>
      </w:tr>
    </w:tbl>
    <w:p>
      <w:pPr>
        <w:spacing w:after="120"/>
      </w:pPr>
    </w:p>
    <w:p>
      <w:pPr>
        <w:pStyle w:val="Heading3"/>
        <w:keepNext/>
      </w:pPr>
      <w:r>
        <w:t xml:space="preserve">Cálculos paso a paso</w:t>
      </w:r>
    </w:p>
    <w:p>
      <w:pPr>
        <w:pStyle w:val="ListParagraph"/>
        <w:numPr>
          <w:ilvl w:val="0"/>
          <w:numId w:val="30"/>
        </w:numPr>
        <w:spacing w:after="60"/>
        <w:jc w:val="left"/>
      </w:pPr>
      <w:r>
        <w:t xml:space="preserve">Relación deuda-ingreso actual = 660.00 ÷ 1,600.00 × 100 = </w:t>
      </w:r>
      <w:r>
        <w:rPr>
          <w:b/>
          <w:bCs/>
        </w:rPr>
        <w:t xml:space="preserve">41.25 %</w:t>
      </w:r>
      <w:r>
        <w:t xml:space="preserve"> (ya en zona de atención).</w:t>
      </w:r>
    </w:p>
    <w:p>
      <w:pPr>
        <w:pStyle w:val="ListParagraph"/>
        <w:numPr>
          <w:ilvl w:val="0"/>
          <w:numId w:val="30"/>
        </w:numPr>
        <w:spacing w:after="60"/>
        <w:jc w:val="left"/>
      </w:pPr>
      <w:r>
        <w:t xml:space="preserve">Cuota solicitada: i = 0.18 ÷ 12 = 0.015; cuota = 8,000 × 0.015 ÷ [1 − (1.015)^(−36)] = </w:t>
      </w:r>
      <w:r>
        <w:rPr>
          <w:b/>
          <w:bCs/>
        </w:rPr>
        <w:t xml:space="preserve">US$289.22</w:t>
      </w:r>
      <w:r>
        <w:t xml:space="preserve">.</w:t>
      </w:r>
    </w:p>
    <w:p>
      <w:pPr>
        <w:pStyle w:val="ListParagraph"/>
        <w:numPr>
          <w:ilvl w:val="0"/>
          <w:numId w:val="30"/>
        </w:numPr>
        <w:spacing w:after="60"/>
        <w:jc w:val="left"/>
      </w:pPr>
      <w:r>
        <w:t xml:space="preserve">Relación deuda-ingreso con el nuevo crédito = (660.00 + 289.22) ÷ 1,600.00 × 100 = </w:t>
      </w:r>
      <w:r>
        <w:rPr>
          <w:b/>
          <w:bCs/>
        </w:rPr>
        <w:t xml:space="preserve">59.33 %</w:t>
      </w:r>
      <w:r>
        <w:t xml:space="preserve">.</w:t>
      </w:r>
    </w:p>
    <w:p>
      <w:pPr>
        <w:pStyle w:val="ListParagraph"/>
        <w:numPr>
          <w:ilvl w:val="0"/>
          <w:numId w:val="30"/>
        </w:numPr>
        <w:spacing w:after="60"/>
        <w:jc w:val="left"/>
      </w:pPr>
      <w:r>
        <w:t xml:space="preserve">Capacidad residual actual = 1,600.00 − 700.00 − 660.00 = US$240.00.</w:t>
      </w:r>
    </w:p>
    <w:p>
      <w:pPr>
        <w:pStyle w:val="ListParagraph"/>
        <w:numPr>
          <w:ilvl w:val="0"/>
          <w:numId w:val="30"/>
        </w:numPr>
        <w:spacing w:after="60"/>
        <w:jc w:val="left"/>
      </w:pPr>
      <w:r>
        <w:t xml:space="preserve">Capacidad residual con el nuevo crédito = 240.00 − 289.22 = </w:t>
      </w:r>
      <w:r>
        <w:rPr>
          <w:b/>
          <w:bCs/>
        </w:rPr>
        <w:t xml:space="preserve">−US$49.22</w:t>
      </w:r>
      <w:r>
        <w:t xml:space="preserve"> (negativa).</w:t>
      </w:r>
    </w:p>
    <w:p>
      <w:pPr>
        <w:pStyle w:val="Heading3"/>
        <w:keepNext/>
      </w:pPr>
      <w:r>
        <w:t xml:space="preserve">Riesgos y señales de alerta</w:t>
      </w:r>
    </w:p>
    <w:p>
      <w:pPr>
        <w:pStyle w:val="ListParagraph"/>
        <w:numPr>
          <w:ilvl w:val="0"/>
          <w:numId w:val="31"/>
        </w:numPr>
        <w:spacing w:after="60"/>
        <w:jc w:val="left"/>
      </w:pPr>
      <w:r>
        <w:rPr>
          <w:b/>
          <w:bCs/>
        </w:rPr>
        <w:t xml:space="preserve">Riesgo crítico:</w:t>
      </w:r>
      <w:r>
        <w:t xml:space="preserve"> capacidad residual negativa.</w:t>
      </w:r>
    </w:p>
    <w:p>
      <w:pPr>
        <w:pStyle w:val="ListParagraph"/>
        <w:numPr>
          <w:ilvl w:val="0"/>
          <w:numId w:val="31"/>
        </w:numPr>
        <w:spacing w:after="60"/>
        <w:jc w:val="left"/>
      </w:pPr>
      <w:r>
        <w:t xml:space="preserve">Uso de tarjetas cercano al límite y atraso reciente: presión de liquidez.</w:t>
      </w:r>
    </w:p>
    <w:p>
      <w:pPr>
        <w:pStyle w:val="ListParagraph"/>
        <w:numPr>
          <w:ilvl w:val="0"/>
          <w:numId w:val="31"/>
        </w:numPr>
        <w:spacing w:after="60"/>
        <w:jc w:val="left"/>
      </w:pPr>
      <w:r>
        <w:t xml:space="preserve">Dos consultas de otras entidades en los últimos 3 meses: búsqueda activa de crédito.</w:t>
      </w:r>
    </w:p>
    <w:p>
      <w:pPr>
        <w:pStyle w:val="ListParagraph"/>
        <w:numPr>
          <w:ilvl w:val="0"/>
          <w:numId w:val="31"/>
        </w:numPr>
        <w:spacing w:after="60"/>
        <w:jc w:val="left"/>
      </w:pPr>
      <w:r>
        <w:t xml:space="preserve">Destino genérico, sin respaldo.</w:t>
      </w:r>
    </w:p>
    <w:p>
      <w:pPr>
        <w:pStyle w:val="Heading3"/>
        <w:keepNext/>
      </w:pPr>
      <w:r>
        <w:t xml:space="preserve">Escenario adverso</w:t>
      </w:r>
    </w:p>
    <w:p>
      <w:pPr>
        <w:keepNext w:val="false"/>
        <w:spacing w:after="120" w:before="0"/>
        <w:jc w:val="both"/>
      </w:pPr>
      <w:r>
        <w:t xml:space="preserve">Sin necesidad de estrés, la solicitud ya es inviable. Con ingreso −10 % (US$1,440) y gastos +10 % (US$770), la capacidad residual sería 1,440 − 770 − 660 − 289.22 = </w:t>
      </w:r>
      <w:r>
        <w:rPr>
          <w:b/>
          <w:bCs/>
        </w:rPr>
        <w:t xml:space="preserve">−US$279.22</w:t>
      </w:r>
      <w:r>
        <w:t xml:space="preserve">.</w:t>
      </w:r>
    </w:p>
    <w:p>
      <w:pPr>
        <w:pStyle w:val="Heading3"/>
        <w:keepNext/>
      </w:pPr>
      <w:r>
        <w:t xml:space="preserve">Alternativa evaluada: consolidación de deudas</w:t>
      </w:r>
    </w:p>
    <w:p>
      <w:pPr>
        <w:keepNext w:val="false"/>
        <w:spacing w:after="120" w:before="0"/>
        <w:jc w:val="both"/>
      </w:pPr>
      <w:r>
        <w:t xml:space="preserve">Se analiza, como alternativa a proponer al cliente, consolidar el préstamo personal y las dos tarjetas (4,200 + 2,300 + 1,600 = </w:t>
      </w:r>
      <w:r>
        <w:rPr>
          <w:b/>
          <w:bCs/>
        </w:rPr>
        <w:t xml:space="preserve">US$8,100</w:t>
      </w:r>
      <w:r>
        <w:t xml:space="preserve">) a 48 meses y 18 % anual, con pago directo a los acreedores y reducción o cierre de los límites de tarjetas según acuerdo con el cliente:</w:t>
      </w:r>
    </w:p>
    <w:p>
      <w:pPr>
        <w:pStyle w:val="ListParagraph"/>
        <w:numPr>
          <w:ilvl w:val="0"/>
          <w:numId w:val="32"/>
        </w:numPr>
        <w:spacing w:after="60"/>
        <w:jc w:val="left"/>
      </w:pPr>
      <w:r>
        <w:t xml:space="preserve">Cuota de consolidación: i = 0.015; cuota = 8,100 × 0.015 ÷ [1 − (1.015)^(−48)] = </w:t>
      </w:r>
      <w:r>
        <w:rPr>
          <w:b/>
          <w:bCs/>
        </w:rPr>
        <w:t xml:space="preserve">US$237.94</w:t>
      </w:r>
      <w:r>
        <w:t xml:space="preserve">.</w:t>
      </w:r>
    </w:p>
    <w:p>
      <w:pPr>
        <w:pStyle w:val="ListParagraph"/>
        <w:numPr>
          <w:ilvl w:val="0"/>
          <w:numId w:val="32"/>
        </w:numPr>
        <w:spacing w:after="60"/>
        <w:jc w:val="left"/>
      </w:pPr>
      <w:r>
        <w:t xml:space="preserve">Nuevas obligaciones = 237.94 + 285.00 (vehículo) = </w:t>
      </w:r>
      <w:r>
        <w:rPr>
          <w:b/>
          <w:bCs/>
        </w:rPr>
        <w:t xml:space="preserve">US$522.94</w:t>
      </w:r>
      <w:r>
        <w:t xml:space="preserve">.</w:t>
      </w:r>
    </w:p>
    <w:p>
      <w:pPr>
        <w:pStyle w:val="ListParagraph"/>
        <w:numPr>
          <w:ilvl w:val="0"/>
          <w:numId w:val="32"/>
        </w:numPr>
        <w:spacing w:after="60"/>
        <w:jc w:val="left"/>
      </w:pPr>
      <w:r>
        <w:t xml:space="preserve">Relación deuda-ingreso = 522.94 ÷ 1,600.00 × 100 = </w:t>
      </w:r>
      <w:r>
        <w:rPr>
          <w:b/>
          <w:bCs/>
        </w:rPr>
        <w:t xml:space="preserve">32.68 %</w:t>
      </w:r>
      <w:r>
        <w:t xml:space="preserve">.</w:t>
      </w:r>
    </w:p>
    <w:p>
      <w:pPr>
        <w:pStyle w:val="ListParagraph"/>
        <w:numPr>
          <w:ilvl w:val="0"/>
          <w:numId w:val="32"/>
        </w:numPr>
        <w:spacing w:after="60"/>
        <w:jc w:val="left"/>
      </w:pPr>
      <w:r>
        <w:t xml:space="preserve">Capacidad residual = 1,600.00 − 700.00 − 522.94 = </w:t>
      </w:r>
      <w:r>
        <w:rPr>
          <w:b/>
          <w:bCs/>
        </w:rPr>
        <w:t xml:space="preserve">US$377.06</w:t>
      </w:r>
      <w:r>
        <w:t xml:space="preserve">.</w:t>
      </w:r>
    </w:p>
    <w:p>
      <w:pPr>
        <w:pStyle w:val="ListParagraph"/>
        <w:numPr>
          <w:ilvl w:val="0"/>
          <w:numId w:val="32"/>
        </w:numPr>
        <w:spacing w:after="60"/>
        <w:jc w:val="left"/>
      </w:pPr>
      <w:r>
        <w:t xml:space="preserve">Escenario adverso (ingreso −10 %, gastos +10 %): 1,440.00 − 770.00 − 522.94 = </w:t>
      </w:r>
      <w:r>
        <w:rPr>
          <w:b/>
          <w:bCs/>
        </w:rPr>
        <w:t xml:space="preserve">US$147.06</w:t>
      </w:r>
      <w:r>
        <w:t xml:space="preserve"> (positiva).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77C02" w:sz="4"/>
              <w:left w:val="single" w:color="C77C02" w:sz="24"/>
              <w:bottom w:val="single" w:color="C77C02" w:sz="4"/>
              <w:right w:val="single" w:color="C77C02" w:sz="4"/>
            </w:tcBorders>
            <w:shd w:fill="FFF4E0" w:color="auto" w:val="clear"/>
            <w:tcMar>
              <w:top w:type="dxa" w:w="100"/>
              <w:left w:type="dxa" w:w="180"/>
              <w:bottom w:type="dxa" w:w="100"/>
              <w:right w:type="dxa" w:w="180"/>
            </w:tcMar>
          </w:tcPr>
          <w:p>
            <w:pPr>
              <w:spacing w:after="60"/>
            </w:pPr>
            <w:r>
              <w:rPr>
                <w:b/>
                <w:bCs/>
                <w:color w:val="C77C02"/>
                <w:sz w:val="20"/>
                <w:szCs w:val="20"/>
              </w:rPr>
              <w:t xml:space="preserve">Nota metodológica</w:t>
            </w:r>
          </w:p>
          <w:p>
            <w:pPr>
              <w:spacing w:after="50"/>
              <w:jc w:val="left"/>
            </w:pPr>
            <w:r>
              <w:rPr>
                <w:sz w:val="20"/>
                <w:szCs w:val="20"/>
              </w:rPr>
              <w:t xml:space="preserve">La consolidación </w:t>
            </w:r>
            <w:r>
              <w:rPr>
                <w:b/>
                <w:bCs/>
                <w:sz w:val="20"/>
                <w:szCs w:val="20"/>
              </w:rPr>
              <w:t xml:space="preserve">no entrega dinero nuevo</w:t>
            </w:r>
            <w:r>
              <w:rPr>
                <w:sz w:val="20"/>
                <w:szCs w:val="20"/>
              </w:rPr>
              <w:t xml:space="preserve"> para el destino solicitado; reduce la cuota mensual a cambio de un plazo mayor. Antes de proponerla, debe compararse el costo total frente a las condiciones actuales de las deudas, informar al cliente con transparencia y verificar que las tarjetas no se vuelvan a utilizar hasta el límite.</w:t>
            </w:r>
          </w:p>
        </w:tc>
      </w:tr>
    </w:tbl>
    <w:p>
      <w:pPr>
        <w:spacing w:after="120"/>
      </w:pPr>
    </w:p>
    <w:p>
      <w:pPr>
        <w:pStyle w:val="Heading3"/>
        <w:keepNext/>
      </w:pPr>
      <w:r>
        <w:t xml:space="preserve">Recomendación y justificación</w:t>
      </w:r>
    </w:p>
    <w:p>
      <w:pPr>
        <w:keepNext w:val="false"/>
        <w:spacing w:after="120" w:before="0"/>
        <w:jc w:val="both"/>
      </w:pPr>
      <w:r>
        <w:rPr>
          <w:b/>
          <w:bCs/>
        </w:rPr>
        <w:t xml:space="preserve">DESFAVORABLE para la solicitud tal como fue presentada</w:t>
      </w:r>
      <w:r>
        <w:t xml:space="preserve">: la nueva cuota deja una capacidad residual negativa (−US$49.22) y eleva la relación deuda-ingreso a 59.33 %, con señales de presión de liquidez. </w:t>
      </w:r>
      <w:r>
        <w:rPr>
          <w:b/>
          <w:bCs/>
        </w:rPr>
        <w:t xml:space="preserve">Se sugiere ofrecer</w:t>
      </w:r>
      <w:r>
        <w:t xml:space="preserve">, como operación distinta sujeta a su propia aprobación, la consolidación de deudas analizada, que mejora la capacidad residual a US$377.06 y es resistente al escenario adverso.</w:t>
      </w:r>
    </w:p>
    <w:p>
      <w:pPr>
        <w:pStyle w:val="Heading2"/>
        <w:keepNext/>
      </w:pPr>
      <w:r>
        <w:t xml:space="preserve">16.4 Caso 4: garantía aparentemente suficiente, capacidad de pago insuficiente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77C02" w:sz="4"/>
              <w:left w:val="single" w:color="C77C02" w:sz="24"/>
              <w:bottom w:val="single" w:color="C77C02" w:sz="4"/>
              <w:right w:val="single" w:color="C77C02" w:sz="4"/>
            </w:tcBorders>
            <w:shd w:fill="FFF4E0" w:color="auto" w:val="clear"/>
            <w:tcMar>
              <w:top w:type="dxa" w:w="100"/>
              <w:left w:type="dxa" w:w="180"/>
              <w:bottom w:type="dxa" w:w="100"/>
              <w:right w:type="dxa" w:w="180"/>
            </w:tcMar>
          </w:tcPr>
          <w:p>
            <w:pPr>
              <w:spacing w:after="60"/>
            </w:pPr>
            <w:r>
              <w:rPr>
                <w:b/>
                <w:bCs/>
                <w:color w:val="C77C02"/>
                <w:sz w:val="20"/>
                <w:szCs w:val="20"/>
              </w:rPr>
              <w:t xml:space="preserve">Aviso</w:t>
            </w:r>
          </w:p>
          <w:p>
            <w:pPr>
              <w:spacing w:after="50"/>
              <w:jc w:val="left"/>
            </w:pPr>
            <w:r>
              <w:rPr>
                <w:sz w:val="20"/>
                <w:szCs w:val="20"/>
              </w:rPr>
              <w:t xml:space="preserve">Caso </w:t>
            </w:r>
            <w:r>
              <w:rPr>
                <w:b/>
                <w:bCs/>
                <w:sz w:val="20"/>
                <w:szCs w:val="20"/>
              </w:rPr>
              <w:t xml:space="preserve">ficticio</w:t>
            </w:r>
            <w:r>
              <w:rPr>
                <w:sz w:val="20"/>
                <w:szCs w:val="20"/>
              </w:rPr>
              <w:t xml:space="preserve">. Nombres, cifras y documentos son inventados con fines didácticos. Los parámetros (gastos mínimos, criterio de cuota de tarjetas, rangos) son supuestos metodológicos.</w:t>
            </w:r>
          </w:p>
        </w:tc>
      </w:tr>
    </w:tbl>
    <w:p>
      <w:pPr>
        <w:spacing w:after="120"/>
      </w:pPr>
    </w:p>
    <w:p>
      <w:pPr>
        <w:pStyle w:val="Heading3"/>
        <w:keepNext/>
      </w:pPr>
      <w:r>
        <w:t xml:space="preserve">Perfil del solicitante</w:t>
      </w:r>
    </w:p>
    <w:p>
      <w:pPr>
        <w:keepNext w:val="false"/>
        <w:spacing w:after="120" w:before="0"/>
        <w:jc w:val="both"/>
      </w:pPr>
      <w:r>
        <w:t xml:space="preserve">Rosa Elena Gómez, 63 años, pensionada, reside en San Miguel. Propietaria de su vivienda y de un pequeño local que arrienda. Solicita un préstamo para aportar capital al taller mecánico de su hijo, quien no figura como deudor.</w:t>
      </w:r>
    </w:p>
    <w:p>
      <w:pPr>
        <w:pStyle w:val="Heading3"/>
        <w:keepNext/>
      </w:pPr>
      <w:r>
        <w:t xml:space="preserve">Solicitud, datos y documentos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6552"/>
      </w:tblGrid>
      <w:tr>
        <w:trPr>
          <w:cantSplit/>
        </w:trPr>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8"/>
                <w:szCs w:val="18"/>
              </w:rPr>
              <w:t xml:space="preserve">Monto / plazo / tasa</w:t>
            </w:r>
          </w:p>
        </w:tc>
        <w:tc>
          <w:tcPr>
            <w:tcW w:type="dxa" w:w="65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8"/>
                <w:szCs w:val="18"/>
              </w:rPr>
              <w:t xml:space="preserve">US$50,000 / 120 meses / 12 % nominal anual</w:t>
            </w:r>
          </w:p>
        </w:tc>
      </w:tr>
      <w:tr>
        <w:trPr>
          <w:cantSplit/>
        </w:trPr>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8"/>
                <w:szCs w:val="18"/>
              </w:rPr>
              <w:t xml:space="preserve">Destino</w:t>
            </w:r>
          </w:p>
        </w:tc>
        <w:tc>
          <w:tcPr>
            <w:tcW w:type="dxa" w:w="65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8"/>
                <w:szCs w:val="18"/>
              </w:rPr>
              <w:t xml:space="preserve">Capital de trabajo y equipo para el taller del hijo (tercero)</w:t>
            </w:r>
          </w:p>
        </w:tc>
      </w:tr>
      <w:tr>
        <w:trPr>
          <w:cantSplit/>
        </w:trPr>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8"/>
                <w:szCs w:val="18"/>
              </w:rPr>
              <w:t xml:space="preserve">Garantía ofrecida</w:t>
            </w:r>
          </w:p>
        </w:tc>
        <w:tc>
          <w:tcPr>
            <w:tcW w:type="dxa" w:w="65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8"/>
                <w:szCs w:val="18"/>
              </w:rPr>
              <w:t xml:space="preserve">Hipoteca sobre su vivienda: avalúo comercial US$120,000; valor de realización US$84,000</w:t>
            </w:r>
          </w:p>
        </w:tc>
      </w:tr>
      <w:tr>
        <w:trPr>
          <w:cantSplit/>
        </w:trPr>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b/>
                <w:bCs/>
                <w:sz w:val="18"/>
                <w:szCs w:val="18"/>
              </w:rPr>
              <w:t xml:space="preserve">Documentos</w:t>
            </w:r>
          </w:p>
        </w:tc>
        <w:tc>
          <w:tcPr>
            <w:tcW w:type="dxa" w:w="65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b w:val="false"/>
                <w:bCs w:val="false"/>
                <w:sz w:val="18"/>
                <w:szCs w:val="18"/>
              </w:rPr>
              <w:t xml:space="preserve">DUI, constancia de pensión, contrato de arrendamiento (vence en 8 meses, sin renovación firmada), estados de cuenta, certificación registral, avalúo, reporte de historial</w:t>
            </w:r>
          </w:p>
        </w:tc>
      </w:tr>
    </w:tbl>
    <w:p>
      <w:pPr>
        <w:spacing w:after="120"/>
      </w:pPr>
    </w:p>
    <w:p>
      <w:pPr>
        <w:pStyle w:val="Heading3"/>
        <w:keepNext/>
      </w:pPr>
      <w:r>
        <w:t xml:space="preserve">Ingresos, gastos y deudas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2"/>
        <w:gridCol w:w="1404"/>
        <w:gridCol w:w="3744"/>
      </w:tblGrid>
      <w:tr>
        <w:trPr>
          <w:cantSplit/>
          <w:tblHeader/>
        </w:trPr>
        <w:tc>
          <w:tcPr>
            <w:tcW w:type="dxa" w:w="421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Concepto</w:t>
            </w:r>
          </w:p>
        </w:tc>
        <w:tc>
          <w:tcPr>
            <w:tcW w:type="dxa" w:w="1404"/>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US$</w:t>
            </w:r>
          </w:p>
        </w:tc>
        <w:tc>
          <w:tcPr>
            <w:tcW w:type="dxa" w:w="3744"/>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Observación</w:t>
            </w:r>
          </w:p>
        </w:tc>
      </w:tr>
      <w:tr>
        <w:trPr>
          <w:cantSplit/>
        </w:trPr>
        <w:tc>
          <w:tcPr>
            <w:tcW w:type="dxa" w:w="421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Pensión neta</w:t>
            </w:r>
          </w:p>
        </w:tc>
        <w:tc>
          <w:tcPr>
            <w:tcW w:type="dxa" w:w="140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right"/>
            </w:pPr>
            <w:r>
              <w:rPr>
                <w:sz w:val="18"/>
                <w:szCs w:val="18"/>
              </w:rPr>
              <w:t xml:space="preserve">850.00</w:t>
            </w:r>
          </w:p>
        </w:tc>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Estable</w:t>
            </w:r>
          </w:p>
        </w:tc>
      </w:tr>
      <w:tr>
        <w:trPr>
          <w:cantSplit/>
        </w:trPr>
        <w:tc>
          <w:tcPr>
            <w:tcW w:type="dxa" w:w="421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Arrendamiento del local</w:t>
            </w:r>
          </w:p>
        </w:tc>
        <w:tc>
          <w:tcPr>
            <w:tcW w:type="dxa" w:w="140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right"/>
            </w:pPr>
            <w:r>
              <w:rPr>
                <w:sz w:val="18"/>
                <w:szCs w:val="18"/>
              </w:rPr>
              <w:t xml:space="preserve">500.00</w:t>
            </w:r>
          </w:p>
        </w:tc>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Contrato vence en 8 meses</w:t>
            </w:r>
          </w:p>
        </w:tc>
      </w:tr>
      <w:tr>
        <w:trPr>
          <w:cantSplit/>
        </w:trPr>
        <w:tc>
          <w:tcPr>
            <w:tcW w:type="dxa" w:w="4212"/>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spacing w:after="20" w:before="20" w:line="240"/>
              <w:jc w:val="left"/>
            </w:pPr>
            <w:r>
              <w:rPr>
                <w:b/>
                <w:bCs/>
                <w:sz w:val="18"/>
                <w:szCs w:val="18"/>
              </w:rPr>
              <w:t xml:space="preserve">Ingreso neto total</w:t>
            </w:r>
          </w:p>
        </w:tc>
        <w:tc>
          <w:tcPr>
            <w:tcW w:type="dxa" w:w="1404"/>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spacing w:after="20" w:before="20" w:line="240"/>
              <w:jc w:val="right"/>
            </w:pPr>
            <w:r>
              <w:rPr>
                <w:b/>
                <w:bCs/>
                <w:sz w:val="18"/>
                <w:szCs w:val="18"/>
              </w:rPr>
              <w:t xml:space="preserve">1,350.00</w:t>
            </w:r>
          </w:p>
        </w:tc>
        <w:tc>
          <w:tcPr>
            <w:tcW w:type="dxa" w:w="3744"/>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spacing w:after="20" w:before="20" w:line="240"/>
              <w:jc w:val="left"/>
            </w:pPr>
          </w:p>
        </w:tc>
      </w:tr>
      <w:tr>
        <w:trPr>
          <w:cantSplit/>
        </w:trPr>
        <w:tc>
          <w:tcPr>
            <w:tcW w:type="dxa" w:w="421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Gastos esenciales (incluye medicamentos)</w:t>
            </w:r>
          </w:p>
        </w:tc>
        <w:tc>
          <w:tcPr>
            <w:tcW w:type="dxa" w:w="140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right"/>
            </w:pPr>
            <w:r>
              <w:rPr>
                <w:sz w:val="18"/>
                <w:szCs w:val="18"/>
              </w:rPr>
              <w:t xml:space="preserve">600.00</w:t>
            </w:r>
          </w:p>
        </w:tc>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Declarado y verificado en estados de cuenta</w:t>
            </w:r>
          </w:p>
        </w:tc>
      </w:tr>
      <w:tr>
        <w:trPr>
          <w:cantSplit/>
        </w:trPr>
        <w:tc>
          <w:tcPr>
            <w:tcW w:type="dxa" w:w="421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Préstamo personal vigente</w:t>
            </w:r>
          </w:p>
        </w:tc>
        <w:tc>
          <w:tcPr>
            <w:tcW w:type="dxa" w:w="140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right"/>
            </w:pPr>
            <w:r>
              <w:rPr>
                <w:sz w:val="18"/>
                <w:szCs w:val="18"/>
              </w:rPr>
              <w:t xml:space="preserve">150.00</w:t>
            </w:r>
          </w:p>
        </w:tc>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Al día</w:t>
            </w:r>
          </w:p>
        </w:tc>
      </w:tr>
    </w:tbl>
    <w:p>
      <w:pPr>
        <w:spacing w:after="120"/>
      </w:pPr>
    </w:p>
    <w:p>
      <w:pPr>
        <w:pStyle w:val="Heading3"/>
        <w:keepNext/>
      </w:pPr>
      <w:r>
        <w:t xml:space="preserve">Cálculos paso a paso</w:t>
      </w:r>
    </w:p>
    <w:p>
      <w:pPr>
        <w:pStyle w:val="ListParagraph"/>
        <w:numPr>
          <w:ilvl w:val="0"/>
          <w:numId w:val="33"/>
        </w:numPr>
        <w:spacing w:after="60"/>
        <w:jc w:val="left"/>
      </w:pPr>
      <w:r>
        <w:t xml:space="preserve">Cuota: i = 0.12 ÷ 12 = 0.01; cuota = 50,000 × 0.01 ÷ [1 − (1.01)^(−120)] = </w:t>
      </w:r>
      <w:r>
        <w:rPr>
          <w:b/>
          <w:bCs/>
        </w:rPr>
        <w:t xml:space="preserve">US$717.35</w:t>
      </w:r>
      <w:r>
        <w:t xml:space="preserve">.</w:t>
      </w:r>
    </w:p>
    <w:p>
      <w:pPr>
        <w:pStyle w:val="ListParagraph"/>
        <w:numPr>
          <w:ilvl w:val="0"/>
          <w:numId w:val="33"/>
        </w:numPr>
        <w:spacing w:after="60"/>
        <w:jc w:val="left"/>
      </w:pPr>
      <w:r>
        <w:t xml:space="preserve">Relación deuda-ingreso = (150.00 + 717.35) ÷ 1,350.00 × 100 = </w:t>
      </w:r>
      <w:r>
        <w:rPr>
          <w:b/>
          <w:bCs/>
        </w:rPr>
        <w:t xml:space="preserve">64.25 %</w:t>
      </w:r>
      <w:r>
        <w:t xml:space="preserve">.</w:t>
      </w:r>
    </w:p>
    <w:p>
      <w:pPr>
        <w:pStyle w:val="ListParagraph"/>
        <w:numPr>
          <w:ilvl w:val="0"/>
          <w:numId w:val="33"/>
        </w:numPr>
        <w:spacing w:after="60"/>
        <w:jc w:val="left"/>
      </w:pPr>
      <w:r>
        <w:t xml:space="preserve">Capacidad residual = 1,350.00 − 600.00 − 150.00 − 717.35 = </w:t>
      </w:r>
      <w:r>
        <w:rPr>
          <w:b/>
          <w:bCs/>
        </w:rPr>
        <w:t xml:space="preserve">−US$117.35</w:t>
      </w:r>
      <w:r>
        <w:t xml:space="preserve">.</w:t>
      </w:r>
    </w:p>
    <w:p>
      <w:pPr>
        <w:pStyle w:val="ListParagraph"/>
        <w:numPr>
          <w:ilvl w:val="0"/>
          <w:numId w:val="33"/>
        </w:numPr>
        <w:spacing w:after="60"/>
        <w:jc w:val="left"/>
      </w:pPr>
      <w:r>
        <w:t xml:space="preserve">Garantía: monto recuperable = 84,000 − 9,000 (costos de ejecución estimados) = </w:t>
      </w:r>
      <w:r>
        <w:rPr>
          <w:b/>
          <w:bCs/>
        </w:rPr>
        <w:t xml:space="preserve">US$75,000</w:t>
      </w:r>
      <w:r>
        <w:t xml:space="preserve">; cobertura = 75,000 ÷ 50,000 = </w:t>
      </w:r>
      <w:r>
        <w:rPr>
          <w:b/>
          <w:bCs/>
        </w:rPr>
        <w:t xml:space="preserve">1.50 veces</w:t>
      </w:r>
      <w:r>
        <w:t xml:space="preserve">; LTV = 50,000 ÷ 120,000 × 100 = </w:t>
      </w:r>
      <w:r>
        <w:rPr>
          <w:b/>
          <w:bCs/>
        </w:rPr>
        <w:t xml:space="preserve">41.7 %</w:t>
      </w:r>
      <w:r>
        <w:t xml:space="preserve">.</w:t>
      </w:r>
    </w:p>
    <w:p>
      <w:pPr>
        <w:pStyle w:val="Heading3"/>
        <w:keepNext/>
      </w:pPr>
      <w:r>
        <w:t xml:space="preserve">Riesgos y señales de alerta</w:t>
      </w:r>
    </w:p>
    <w:p>
      <w:pPr>
        <w:pStyle w:val="ListParagraph"/>
        <w:numPr>
          <w:ilvl w:val="0"/>
          <w:numId w:val="34"/>
        </w:numPr>
        <w:spacing w:after="60"/>
        <w:jc w:val="left"/>
      </w:pPr>
      <w:r>
        <w:rPr>
          <w:b/>
          <w:bCs/>
        </w:rPr>
        <w:t xml:space="preserve">Riesgo crítico:</w:t>
      </w:r>
      <w:r>
        <w:t xml:space="preserve"> capacidad residual negativa desde el primer mes.</w:t>
      </w:r>
    </w:p>
    <w:p>
      <w:pPr>
        <w:pStyle w:val="ListParagraph"/>
        <w:numPr>
          <w:ilvl w:val="0"/>
          <w:numId w:val="34"/>
        </w:numPr>
        <w:spacing w:after="60"/>
        <w:jc w:val="left"/>
      </w:pPr>
      <w:r>
        <w:t xml:space="preserve">Dependencia de un ingreso por arrendamiento cuyo contrato vence durante el primer año.</w:t>
      </w:r>
    </w:p>
    <w:p>
      <w:pPr>
        <w:pStyle w:val="ListParagraph"/>
        <w:numPr>
          <w:ilvl w:val="0"/>
          <w:numId w:val="34"/>
        </w:numPr>
        <w:spacing w:after="60"/>
        <w:jc w:val="left"/>
      </w:pPr>
      <w:r>
        <w:t xml:space="preserve">El destino beneficia a un tercero cuyo negocio no fue evaluado: el flujo que pagaría el crédito no es de la solicitante.</w:t>
      </w:r>
    </w:p>
    <w:p>
      <w:pPr>
        <w:pStyle w:val="ListParagraph"/>
        <w:numPr>
          <w:ilvl w:val="0"/>
          <w:numId w:val="34"/>
        </w:numPr>
        <w:spacing w:after="60"/>
        <w:jc w:val="left"/>
      </w:pPr>
      <w:r>
        <w:t xml:space="preserve">Plazo de 10 años: la solicitante tendría 73 años al vencimiento; deben revisarse los límites de edad y la cobertura de seguros conforme a la política.</w:t>
      </w:r>
    </w:p>
    <w:p>
      <w:pPr>
        <w:pStyle w:val="ListParagraph"/>
        <w:numPr>
          <w:ilvl w:val="0"/>
          <w:numId w:val="34"/>
        </w:numPr>
        <w:spacing w:after="60"/>
        <w:jc w:val="left"/>
      </w:pPr>
      <w:r>
        <w:t xml:space="preserve">Riesgo para la solicitante: posible pérdida de su vivienda.</w:t>
      </w:r>
    </w:p>
    <w:p>
      <w:pPr>
        <w:pStyle w:val="Heading3"/>
        <w:keepNext/>
      </w:pPr>
      <w:r>
        <w:t xml:space="preserve">Escenario adverso</w:t>
      </w:r>
    </w:p>
    <w:p>
      <w:pPr>
        <w:keepNext w:val="false"/>
        <w:spacing w:after="120" w:before="0"/>
        <w:jc w:val="both"/>
      </w:pPr>
      <w:r>
        <w:t xml:space="preserve">Si el arrendamiento no se renueva: ingreso 850.00; capacidad residual = 850.00 − 600.00 − 150.00 − 717.35 = </w:t>
      </w:r>
      <w:r>
        <w:rPr>
          <w:b/>
          <w:bCs/>
        </w:rPr>
        <w:t xml:space="preserve">−US$617.35</w:t>
      </w:r>
      <w:r>
        <w:t xml:space="preserve">. Aun con una cuota mucho menor, por ejemplo US$360 (que equivale a un préstamo de unos US$25,092 en las mismas condiciones), la capacidad dependería por completo del arrendamiento inestable: sin él, el margen disponible para nuevas deudas sería de solo 850 − 600 − 150 = US$100.</w:t>
      </w:r>
    </w:p>
    <w:p>
      <w:pPr>
        <w:pStyle w:val="Heading3"/>
        <w:keepNext/>
      </w:pPr>
      <w:r>
        <w:t xml:space="preserve">Recomendación y justificación</w:t>
      </w:r>
    </w:p>
    <w:p>
      <w:pPr>
        <w:keepNext w:val="false"/>
        <w:spacing w:after="120" w:before="0"/>
        <w:jc w:val="both"/>
      </w:pPr>
      <w:r>
        <w:rPr>
          <w:b/>
          <w:bCs/>
        </w:rPr>
        <w:t xml:space="preserve">DESFAVORABLE.</w:t>
      </w:r>
      <w:r>
        <w:t xml:space="preserve"> Aunque la garantía cubre 1.50 veces el préstamo, la solicitante no tiene capacidad para pagar la cuota (residual −US$117.35; relación deuda-ingreso 64.25 %), y su situación empeoraría si no renueva el arrendamiento. Aprobar convertiría la garantía en la fuente principal de pago, lo cual contradice el principio de que la garantía no sustituye la capacidad. Puntuación interna: 49/100, además de la regla de riesgo crítico.</w:t>
      </w:r>
    </w:p>
    <w:p>
      <w:pPr>
        <w:keepNext w:val="false"/>
        <w:spacing w:after="120" w:before="0"/>
        <w:jc w:val="both"/>
      </w:pPr>
      <w:r>
        <w:rPr>
          <w:b/>
          <w:bCs/>
        </w:rPr>
        <w:t xml:space="preserve">Alternativa sugerida:</w:t>
      </w:r>
      <w:r>
        <w:t xml:space="preserve"> que el hijo, como propietario del taller, presente una solicitud propia para evaluar el flujo de su negocio (Capítulo 7); la participación de la madre como garante solo debería considerarse si ella comprende plenamente el riesgo y si el negocio demuestra capacidad suficiente por sí mismo.</w:t>
      </w:r>
    </w:p>
    <w:p>
      <w:pPr>
        <w:pStyle w:val="Heading2"/>
        <w:keepNext/>
      </w:pPr>
      <w:r>
        <w:t xml:space="preserve">16.5 Comparación de resultados</w:t>
      </w:r>
    </w:p>
    <w:p>
      <w:pPr>
        <w:keepNext/>
        <w:spacing w:after="60" w:before="120"/>
      </w:pPr>
      <w:r>
        <w:rPr>
          <w:b/>
          <w:bCs/>
          <w:color w:val="1F3864"/>
          <w:sz w:val="19"/>
          <w:szCs w:val="19"/>
        </w:rPr>
        <w:t xml:space="preserve">Tabla 16.1. Síntesis comparativa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1591"/>
        <w:gridCol w:w="1778"/>
        <w:gridCol w:w="1965"/>
        <w:gridCol w:w="1780"/>
      </w:tblGrid>
      <w:tr>
        <w:trPr>
          <w:cantSplit/>
          <w:tblHeader/>
        </w:trPr>
        <w:tc>
          <w:tcPr>
            <w:tcW w:type="dxa" w:w="224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Indicador</w:t>
            </w:r>
          </w:p>
        </w:tc>
        <w:tc>
          <w:tcPr>
            <w:tcW w:type="dxa" w:w="1591"/>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Caso 1</w:t>
            </w:r>
          </w:p>
        </w:tc>
        <w:tc>
          <w:tcPr>
            <w:tcW w:type="dxa" w:w="1778"/>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Caso 2</w:t>
            </w:r>
          </w:p>
        </w:tc>
        <w:tc>
          <w:tcPr>
            <w:tcW w:type="dxa" w:w="1965"/>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Caso 3</w:t>
            </w:r>
          </w:p>
        </w:tc>
        <w:tc>
          <w:tcPr>
            <w:tcW w:type="dxa" w:w="178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Caso 4</w:t>
            </w:r>
          </w:p>
        </w:tc>
      </w:tr>
      <w:tr>
        <w:trPr>
          <w:cantSplit/>
        </w:trPr>
        <w:tc>
          <w:tcPr>
            <w:tcW w:type="dxa" w:w="224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Ingreso neto considerado</w:t>
            </w:r>
          </w:p>
        </w:tc>
        <w:tc>
          <w:tcPr>
            <w:tcW w:type="dxa" w:w="159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1,195.00</w:t>
            </w:r>
          </w:p>
        </w:tc>
        <w:tc>
          <w:tcPr>
            <w:tcW w:type="dxa" w:w="177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1,480.00</w:t>
            </w:r>
          </w:p>
        </w:tc>
        <w:tc>
          <w:tcPr>
            <w:tcW w:type="dxa" w:w="196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1,600.00</w:t>
            </w:r>
          </w:p>
        </w:tc>
        <w:tc>
          <w:tcPr>
            <w:tcW w:type="dxa" w:w="178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1,350.00</w:t>
            </w:r>
          </w:p>
        </w:tc>
      </w:tr>
      <w:tr>
        <w:trPr>
          <w:cantSplit/>
        </w:trPr>
        <w:tc>
          <w:tcPr>
            <w:tcW w:type="dxa" w:w="224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Cuota nueva</w:t>
            </w:r>
          </w:p>
        </w:tc>
        <w:tc>
          <w:tcPr>
            <w:tcW w:type="dxa" w:w="159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170.04</w:t>
            </w:r>
          </w:p>
        </w:tc>
        <w:tc>
          <w:tcPr>
            <w:tcW w:type="dxa" w:w="177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356.85</w:t>
            </w:r>
          </w:p>
        </w:tc>
        <w:tc>
          <w:tcPr>
            <w:tcW w:type="dxa" w:w="196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289.22</w:t>
            </w:r>
          </w:p>
        </w:tc>
        <w:tc>
          <w:tcPr>
            <w:tcW w:type="dxa" w:w="178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717.35</w:t>
            </w:r>
          </w:p>
        </w:tc>
      </w:tr>
      <w:tr>
        <w:trPr>
          <w:cantSplit/>
        </w:trPr>
        <w:tc>
          <w:tcPr>
            <w:tcW w:type="dxa" w:w="224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Relación deuda-ingreso</w:t>
            </w:r>
          </w:p>
        </w:tc>
        <w:tc>
          <w:tcPr>
            <w:tcW w:type="dxa" w:w="159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19.25 %</w:t>
            </w:r>
          </w:p>
        </w:tc>
        <w:tc>
          <w:tcPr>
            <w:tcW w:type="dxa" w:w="177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27.15 %</w:t>
            </w:r>
          </w:p>
        </w:tc>
        <w:tc>
          <w:tcPr>
            <w:tcW w:type="dxa" w:w="196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59.33 %</w:t>
            </w:r>
          </w:p>
        </w:tc>
        <w:tc>
          <w:tcPr>
            <w:tcW w:type="dxa" w:w="178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64.25 %</w:t>
            </w:r>
          </w:p>
        </w:tc>
      </w:tr>
      <w:tr>
        <w:trPr>
          <w:cantSplit/>
        </w:trPr>
        <w:tc>
          <w:tcPr>
            <w:tcW w:type="dxa" w:w="224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Capacidad residual</w:t>
            </w:r>
          </w:p>
        </w:tc>
        <w:tc>
          <w:tcPr>
            <w:tcW w:type="dxa" w:w="159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444.96</w:t>
            </w:r>
          </w:p>
        </w:tc>
        <w:tc>
          <w:tcPr>
            <w:tcW w:type="dxa" w:w="177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438.15</w:t>
            </w:r>
          </w:p>
        </w:tc>
        <w:tc>
          <w:tcPr>
            <w:tcW w:type="dxa" w:w="196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−49.22</w:t>
            </w:r>
          </w:p>
        </w:tc>
        <w:tc>
          <w:tcPr>
            <w:tcW w:type="dxa" w:w="178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−117.35</w:t>
            </w:r>
          </w:p>
        </w:tc>
      </w:tr>
      <w:tr>
        <w:trPr>
          <w:cantSplit/>
        </w:trPr>
        <w:tc>
          <w:tcPr>
            <w:tcW w:type="dxa" w:w="224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Escenario adverso</w:t>
            </w:r>
          </w:p>
        </w:tc>
        <w:tc>
          <w:tcPr>
            <w:tcW w:type="dxa" w:w="159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273.46</w:t>
            </w:r>
          </w:p>
        </w:tc>
        <w:tc>
          <w:tcPr>
            <w:tcW w:type="dxa" w:w="177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18.15 (peor mes)</w:t>
            </w:r>
          </w:p>
        </w:tc>
        <w:tc>
          <w:tcPr>
            <w:tcW w:type="dxa" w:w="196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−279.22</w:t>
            </w:r>
          </w:p>
        </w:tc>
        <w:tc>
          <w:tcPr>
            <w:tcW w:type="dxa" w:w="178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−617.35</w:t>
            </w:r>
          </w:p>
        </w:tc>
      </w:tr>
      <w:tr>
        <w:trPr>
          <w:cantSplit/>
        </w:trPr>
        <w:tc>
          <w:tcPr>
            <w:tcW w:type="dxa" w:w="224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Garantía</w:t>
            </w:r>
          </w:p>
        </w:tc>
        <w:tc>
          <w:tcPr>
            <w:tcW w:type="dxa" w:w="159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No</w:t>
            </w:r>
          </w:p>
        </w:tc>
        <w:tc>
          <w:tcPr>
            <w:tcW w:type="dxa" w:w="177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No</w:t>
            </w:r>
          </w:p>
        </w:tc>
        <w:tc>
          <w:tcPr>
            <w:tcW w:type="dxa" w:w="196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No (prenda del vehículo ajena a la solicitud)</w:t>
            </w:r>
          </w:p>
        </w:tc>
        <w:tc>
          <w:tcPr>
            <w:tcW w:type="dxa" w:w="178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Hipoteca, cobertura 1.50</w:t>
            </w:r>
          </w:p>
        </w:tc>
      </w:tr>
      <w:tr>
        <w:trPr>
          <w:cantSplit/>
        </w:trPr>
        <w:tc>
          <w:tcPr>
            <w:tcW w:type="dxa" w:w="224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Puntuación interna</w:t>
            </w:r>
          </w:p>
        </w:tc>
        <w:tc>
          <w:tcPr>
            <w:tcW w:type="dxa" w:w="159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83</w:t>
            </w:r>
          </w:p>
        </w:tc>
        <w:tc>
          <w:tcPr>
            <w:tcW w:type="dxa" w:w="177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69</w:t>
            </w:r>
          </w:p>
        </w:tc>
        <w:tc>
          <w:tcPr>
            <w:tcW w:type="dxa" w:w="196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No aplica (riesgo crítico)</w:t>
            </w:r>
          </w:p>
        </w:tc>
        <w:tc>
          <w:tcPr>
            <w:tcW w:type="dxa" w:w="178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49 + riesgo crítico</w:t>
            </w:r>
          </w:p>
        </w:tc>
      </w:tr>
      <w:tr>
        <w:trPr>
          <w:cantSplit/>
        </w:trPr>
        <w:tc>
          <w:tcPr>
            <w:tcW w:type="dxa" w:w="224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Recomendación</w:t>
            </w:r>
          </w:p>
        </w:tc>
        <w:tc>
          <w:tcPr>
            <w:tcW w:type="dxa" w:w="159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Favorable</w:t>
            </w:r>
          </w:p>
        </w:tc>
        <w:tc>
          <w:tcPr>
            <w:tcW w:type="dxa" w:w="177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Favorable con condiciones</w:t>
            </w:r>
          </w:p>
        </w:tc>
        <w:tc>
          <w:tcPr>
            <w:tcW w:type="dxa" w:w="196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Desfavorable (alternativa de consolidación)</w:t>
            </w:r>
          </w:p>
        </w:tc>
        <w:tc>
          <w:tcPr>
            <w:tcW w:type="dxa" w:w="178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Desfavorable</w:t>
            </w:r>
          </w:p>
        </w:tc>
      </w:tr>
    </w:tbl>
    <w:p>
      <w:pPr>
        <w:spacing w:after="120"/>
      </w:pPr>
    </w:p>
    <w:p>
      <w:pPr>
        <w:pStyle w:val="Heading1"/>
        <w:pageBreakBefore/>
      </w:pPr>
      <w:r>
        <w:t xml:space="preserve">Capítulo 17. Herramientas, formatos y anexos</w:t>
      </w:r>
    </w:p>
    <w:p>
      <w:pPr>
        <w:keepNext w:val="false"/>
        <w:spacing w:after="120" w:before="0"/>
        <w:jc w:val="both"/>
      </w:pPr>
      <w:r>
        <w:t xml:space="preserve">Este capítulo presenta los doce formatos de la guía. Cada formato se incluye como anexo independiente, en tablas de Word totalmente editables, para que la institución los adapte a sus productos, políticas y sistemas. Los formatos </w:t>
      </w:r>
      <w:r>
        <w:rPr>
          <w:b/>
          <w:bCs/>
        </w:rPr>
        <w:t xml:space="preserve">no son obligatorios por sí mismos</w:t>
      </w:r>
      <w:r>
        <w:t xml:space="preserve">: se convierten en herramientas institucionales cuando la entidad los aprueba.</w:t>
      </w:r>
    </w:p>
    <w:p>
      <w:pPr>
        <w:keepNext/>
        <w:spacing w:after="60" w:before="120"/>
      </w:pPr>
      <w:r>
        <w:rPr>
          <w:b/>
          <w:bCs/>
          <w:color w:val="1F3864"/>
          <w:sz w:val="19"/>
          <w:szCs w:val="19"/>
        </w:rPr>
        <w:t xml:space="preserve">Tabla 17.1. Formatos de la guía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1"/>
        <w:gridCol w:w="1872"/>
        <w:gridCol w:w="2152"/>
        <w:gridCol w:w="1497"/>
        <w:gridCol w:w="2248"/>
      </w:tblGrid>
      <w:tr>
        <w:trPr>
          <w:cantSplit/>
          <w:tblHeader/>
        </w:trPr>
        <w:tc>
          <w:tcPr>
            <w:tcW w:type="dxa" w:w="1591"/>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Formato (Anexo)</w:t>
            </w:r>
          </w:p>
        </w:tc>
        <w:tc>
          <w:tcPr>
            <w:tcW w:type="dxa" w:w="187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Finalidad</w:t>
            </w:r>
          </w:p>
        </w:tc>
        <w:tc>
          <w:tcPr>
            <w:tcW w:type="dxa" w:w="215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Cómo completarlo</w:t>
            </w:r>
          </w:p>
        </w:tc>
        <w:tc>
          <w:tcPr>
            <w:tcW w:type="dxa" w:w="1497"/>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Quién lo usa</w:t>
            </w:r>
          </w:p>
        </w:tc>
        <w:tc>
          <w:tcPr>
            <w:tcW w:type="dxa" w:w="2248"/>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Verificaciones clave</w:t>
            </w:r>
          </w:p>
        </w:tc>
      </w:tr>
      <w:tr>
        <w:trPr>
          <w:cantSplit/>
        </w:trPr>
        <w:tc>
          <w:tcPr>
            <w:tcW w:type="dxa" w:w="159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A. Lista de verificación documental</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Asegurar que el expediente está completo antes del análisis.</w:t>
            </w:r>
          </w:p>
        </w:tc>
        <w:tc>
          <w:tcPr>
            <w:tcW w:type="dxa" w:w="21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Marcar cada documento recibido, con fecha y método de verificación.</w:t>
            </w:r>
          </w:p>
        </w:tc>
        <w:tc>
          <w:tcPr>
            <w:tcW w:type="dxa" w:w="149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Oficial de negocios; analista.</w:t>
            </w:r>
          </w:p>
        </w:tc>
        <w:tc>
          <w:tcPr>
            <w:tcW w:type="dxa" w:w="22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Fechas dentro de la vigencia de política; originales cotejados.</w:t>
            </w:r>
          </w:p>
        </w:tc>
      </w:tr>
      <w:tr>
        <w:trPr>
          <w:cantSplit/>
        </w:trPr>
        <w:tc>
          <w:tcPr>
            <w:tcW w:type="dxa" w:w="159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B. Análisis de ingresos y gastos</w:t>
            </w:r>
          </w:p>
        </w:tc>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Ordenar ingresos verificados y gastos esenciales.</w:t>
            </w:r>
          </w:p>
        </w:tc>
        <w:tc>
          <w:tcPr>
            <w:tcW w:type="dxa" w:w="21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Registrar cada rubro con su fuente; aplicar el mayor entre gasto declarado y mínimo.</w:t>
            </w:r>
          </w:p>
        </w:tc>
        <w:tc>
          <w:tcPr>
            <w:tcW w:type="dxa" w:w="149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Analista.</w:t>
            </w:r>
          </w:p>
        </w:tc>
        <w:tc>
          <w:tcPr>
            <w:tcW w:type="dxa" w:w="22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Ingreso neto coincide con abonos; no se incluyen cuotas de deudas en gastos.</w:t>
            </w:r>
          </w:p>
        </w:tc>
      </w:tr>
      <w:tr>
        <w:trPr>
          <w:cantSplit/>
        </w:trPr>
        <w:tc>
          <w:tcPr>
            <w:tcW w:type="dxa" w:w="159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C. Hoja de capacidad de pago</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Calcular cuota, indicadores y escenario adverso.</w:t>
            </w:r>
          </w:p>
        </w:tc>
        <w:tc>
          <w:tcPr>
            <w:tcW w:type="dxa" w:w="21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Ingresar datos del formato B y del historial; calcular.</w:t>
            </w:r>
          </w:p>
        </w:tc>
        <w:tc>
          <w:tcPr>
            <w:tcW w:type="dxa" w:w="149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Analista; revisor.</w:t>
            </w:r>
          </w:p>
        </w:tc>
        <w:tc>
          <w:tcPr>
            <w:tcW w:type="dxa" w:w="22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Fórmulas visibles; escenario adverso completado.</w:t>
            </w:r>
          </w:p>
        </w:tc>
      </w:tr>
      <w:tr>
        <w:trPr>
          <w:cantSplit/>
        </w:trPr>
        <w:tc>
          <w:tcPr>
            <w:tcW w:type="dxa" w:w="159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D. Matriz de evaluación de riesgos</w:t>
            </w:r>
          </w:p>
        </w:tc>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Identificar y valorar riesgos de la operación.</w:t>
            </w:r>
          </w:p>
        </w:tc>
        <w:tc>
          <w:tcPr>
            <w:tcW w:type="dxa" w:w="21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Completar las 14 columnas por riesgo.</w:t>
            </w:r>
          </w:p>
        </w:tc>
        <w:tc>
          <w:tcPr>
            <w:tcW w:type="dxa" w:w="149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Analista; área de riesgos.</w:t>
            </w:r>
          </w:p>
        </w:tc>
        <w:tc>
          <w:tcPr>
            <w:tcW w:type="dxa" w:w="22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Riesgos altos con acción de mitigación y responsable.</w:t>
            </w:r>
          </w:p>
        </w:tc>
      </w:tr>
      <w:tr>
        <w:trPr>
          <w:cantSplit/>
        </w:trPr>
        <w:tc>
          <w:tcPr>
            <w:tcW w:type="dxa" w:w="159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E. Análisis de garantías</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Determinar valor recuperable y cobertura.</w:t>
            </w:r>
          </w:p>
        </w:tc>
        <w:tc>
          <w:tcPr>
            <w:tcW w:type="dxa" w:w="21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Datos del avalúo, registrales y costos de ejecución.</w:t>
            </w:r>
          </w:p>
        </w:tc>
        <w:tc>
          <w:tcPr>
            <w:tcW w:type="dxa" w:w="149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Analista; legal.</w:t>
            </w:r>
          </w:p>
        </w:tc>
        <w:tc>
          <w:tcPr>
            <w:tcW w:type="dxa" w:w="22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Titularidad, gravámenes, vigencia del avalúo.</w:t>
            </w:r>
          </w:p>
        </w:tc>
      </w:tr>
      <w:tr>
        <w:trPr>
          <w:cantSplit/>
        </w:trPr>
        <w:tc>
          <w:tcPr>
            <w:tcW w:type="dxa" w:w="159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F. Lista de señales de alerta</w:t>
            </w:r>
          </w:p>
        </w:tc>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Detectar inconsistencias y posibles fraudes.</w:t>
            </w:r>
          </w:p>
        </w:tc>
        <w:tc>
          <w:tcPr>
            <w:tcW w:type="dxa" w:w="21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Marcar alertas y documentar su resolución.</w:t>
            </w:r>
          </w:p>
        </w:tc>
        <w:tc>
          <w:tcPr>
            <w:tcW w:type="dxa" w:w="149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Analista; cumplimiento.</w:t>
            </w:r>
          </w:p>
        </w:tc>
        <w:tc>
          <w:tcPr>
            <w:tcW w:type="dxa" w:w="22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Ninguna alerta abierta al recomendar.</w:t>
            </w:r>
          </w:p>
        </w:tc>
      </w:tr>
      <w:tr>
        <w:trPr>
          <w:cantSplit/>
        </w:trPr>
        <w:tc>
          <w:tcPr>
            <w:tcW w:type="dxa" w:w="159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G. Informe de evaluación crediticia</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Comunicar el análisis y la recomendación.</w:t>
            </w:r>
          </w:p>
        </w:tc>
        <w:tc>
          <w:tcPr>
            <w:tcW w:type="dxa" w:w="21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Seguir las 15 secciones del Capítulo 11.</w:t>
            </w:r>
          </w:p>
        </w:tc>
        <w:tc>
          <w:tcPr>
            <w:tcW w:type="dxa" w:w="149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Analista; aprobador.</w:t>
            </w:r>
          </w:p>
        </w:tc>
        <w:tc>
          <w:tcPr>
            <w:tcW w:type="dxa" w:w="22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Recomendación justificada con cifras.</w:t>
            </w:r>
          </w:p>
        </w:tc>
      </w:tr>
      <w:tr>
        <w:trPr>
          <w:cantSplit/>
        </w:trPr>
        <w:tc>
          <w:tcPr>
            <w:tcW w:type="dxa" w:w="159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H. Lista previa a la aprobación</w:t>
            </w:r>
          </w:p>
        </w:tc>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Comprobar que la operación puede decidirse.</w:t>
            </w:r>
          </w:p>
        </w:tc>
        <w:tc>
          <w:tcPr>
            <w:tcW w:type="dxa" w:w="21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Verificar cada punto antes del comité.</w:t>
            </w:r>
          </w:p>
        </w:tc>
        <w:tc>
          <w:tcPr>
            <w:tcW w:type="dxa" w:w="149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Secretaría del comité; aprobador.</w:t>
            </w:r>
          </w:p>
        </w:tc>
        <w:tc>
          <w:tcPr>
            <w:tcW w:type="dxa" w:w="22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Facultades de la instancia; riesgos críticos tratados.</w:t>
            </w:r>
          </w:p>
        </w:tc>
      </w:tr>
      <w:tr>
        <w:trPr>
          <w:cantSplit/>
        </w:trPr>
        <w:tc>
          <w:tcPr>
            <w:tcW w:type="dxa" w:w="159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I. Lista previa al desembolso</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Asegurar el cumplimiento de condiciones.</w:t>
            </w:r>
          </w:p>
        </w:tc>
        <w:tc>
          <w:tcPr>
            <w:tcW w:type="dxa" w:w="21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Verificar cada condición con evidencia.</w:t>
            </w:r>
          </w:p>
        </w:tc>
        <w:tc>
          <w:tcPr>
            <w:tcW w:type="dxa" w:w="149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Operaciones; legal.</w:t>
            </w:r>
          </w:p>
        </w:tc>
        <w:tc>
          <w:tcPr>
            <w:tcW w:type="dxa" w:w="22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Condiciones aprobadas = condiciones cumplidas.</w:t>
            </w:r>
          </w:p>
        </w:tc>
      </w:tr>
      <w:tr>
        <w:trPr>
          <w:cantSplit/>
        </w:trPr>
        <w:tc>
          <w:tcPr>
            <w:tcW w:type="dxa" w:w="159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J. Seguimiento del crédito</w:t>
            </w:r>
          </w:p>
        </w:tc>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Registrar el comportamiento posterior.</w:t>
            </w:r>
          </w:p>
        </w:tc>
        <w:tc>
          <w:tcPr>
            <w:tcW w:type="dxa" w:w="21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Actualizar según la frecuencia definida.</w:t>
            </w:r>
          </w:p>
        </w:tc>
        <w:tc>
          <w:tcPr>
            <w:tcW w:type="dxa" w:w="149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Oficial; cobranza; riesgos.</w:t>
            </w:r>
          </w:p>
        </w:tc>
        <w:tc>
          <w:tcPr>
            <w:tcW w:type="dxa" w:w="22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Alertas tempranas registradas y atendidas.</w:t>
            </w:r>
          </w:p>
        </w:tc>
      </w:tr>
      <w:tr>
        <w:trPr>
          <w:cantSplit/>
        </w:trPr>
        <w:tc>
          <w:tcPr>
            <w:tcW w:type="dxa" w:w="159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K. Matriz de documentación y trazabilidad</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Garantizar que la decisión pueda reconstruirse.</w:t>
            </w:r>
          </w:p>
        </w:tc>
        <w:tc>
          <w:tcPr>
            <w:tcW w:type="dxa" w:w="21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Registrar documento, fuente, fecha, responsable y ubicación.</w:t>
            </w:r>
          </w:p>
        </w:tc>
        <w:tc>
          <w:tcPr>
            <w:tcW w:type="dxa" w:w="149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Analista; auditoría.</w:t>
            </w:r>
          </w:p>
        </w:tc>
        <w:tc>
          <w:tcPr>
            <w:tcW w:type="dxa" w:w="22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Cada dato del informe tiene respaldo localizable.</w:t>
            </w:r>
          </w:p>
        </w:tc>
      </w:tr>
      <w:tr>
        <w:trPr>
          <w:cantSplit/>
        </w:trPr>
        <w:tc>
          <w:tcPr>
            <w:tcW w:type="dxa" w:w="159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L. Glosario</w:t>
            </w:r>
          </w:p>
        </w:tc>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Unificar el lenguaje.</w:t>
            </w:r>
          </w:p>
        </w:tc>
        <w:tc>
          <w:tcPr>
            <w:tcW w:type="dxa" w:w="21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Consultar y ampliar según la institución.</w:t>
            </w:r>
          </w:p>
        </w:tc>
        <w:tc>
          <w:tcPr>
            <w:tcW w:type="dxa" w:w="149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Todo el personal.</w:t>
            </w:r>
          </w:p>
        </w:tc>
        <w:tc>
          <w:tcPr>
            <w:tcW w:type="dxa" w:w="22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Definiciones coherentes con políticas internas.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2E75B6" w:sz="4"/>
              <w:left w:val="single" w:color="2E75B6" w:sz="24"/>
              <w:bottom w:val="single" w:color="2E75B6" w:sz="4"/>
              <w:right w:val="single" w:color="2E75B6" w:sz="4"/>
            </w:tcBorders>
            <w:shd w:fill="F2F7FC" w:color="auto" w:val="clear"/>
            <w:tcMar>
              <w:top w:type="dxa" w:w="100"/>
              <w:left w:type="dxa" w:w="180"/>
              <w:bottom w:type="dxa" w:w="100"/>
              <w:right w:type="dxa" w:w="180"/>
            </w:tcMar>
          </w:tcPr>
          <w:p>
            <w:pPr>
              <w:spacing w:after="60"/>
            </w:pPr>
            <w:r>
              <w:rPr>
                <w:b/>
                <w:bCs/>
                <w:color w:val="2E75B6"/>
                <w:sz w:val="20"/>
                <w:szCs w:val="20"/>
              </w:rPr>
              <w:t xml:space="preserve">Buena práctica recomendada (no constituye obligación legal)</w:t>
            </w:r>
          </w:p>
          <w:p>
            <w:pPr>
              <w:spacing w:after="50"/>
              <w:jc w:val="left"/>
            </w:pPr>
            <w:r>
              <w:rPr>
                <w:sz w:val="20"/>
                <w:szCs w:val="20"/>
              </w:rPr>
              <w:t xml:space="preserve">Convertir los formatos B y C en una </w:t>
            </w:r>
            <w:r>
              <w:rPr>
                <w:b/>
                <w:bCs/>
                <w:sz w:val="20"/>
                <w:szCs w:val="20"/>
              </w:rPr>
              <w:t xml:space="preserve">plantilla de hoja de cálculo protegida</w:t>
            </w:r>
            <w:r>
              <w:rPr>
                <w:sz w:val="20"/>
                <w:szCs w:val="20"/>
              </w:rPr>
              <w:t xml:space="preserve">, con celdas de ingreso de datos diferenciadas de las celdas de fórmula, número de versión y fecha. Así se garantiza que todos los analistas calculen igual.</w:t>
            </w:r>
          </w:p>
        </w:tc>
      </w:tr>
    </w:tbl>
    <w:p>
      <w:pPr>
        <w:spacing w:after="120"/>
      </w:pPr>
    </w:p>
    <w:p>
      <w:pPr>
        <w:pStyle w:val="Heading1"/>
        <w:pageBreakBefore/>
      </w:pPr>
      <w:r>
        <w:t xml:space="preserve">Capítulo 18. Conclusiones y recomendaciones</w:t>
      </w:r>
    </w:p>
    <w:p>
      <w:pPr>
        <w:keepNext w:val="false"/>
        <w:spacing w:after="120" w:before="0"/>
        <w:jc w:val="both"/>
      </w:pPr>
      <w:r>
        <w:rPr>
          <w:i/>
          <w:iCs/>
        </w:rPr>
        <w:t xml:space="preserve">Desarrolla el apartado original 11: «Conclusiones y recomendaciones».</w:t>
      </w:r>
    </w:p>
    <w:p>
      <w:pPr>
        <w:pStyle w:val="Heading2"/>
        <w:keepNext/>
      </w:pPr>
      <w:r>
        <w:t xml:space="preserve">18.1 Conclusiones</w:t>
      </w:r>
    </w:p>
    <w:p>
      <w:pPr>
        <w:pStyle w:val="ListParagraph"/>
        <w:numPr>
          <w:ilvl w:val="0"/>
          <w:numId w:val="35"/>
        </w:numPr>
        <w:spacing w:after="60"/>
        <w:jc w:val="left"/>
      </w:pPr>
      <w:r>
        <w:rPr>
          <w:b/>
          <w:bCs/>
        </w:rPr>
        <w:t xml:space="preserve">La evaluación crediticia es un juicio integral y documentado</w:t>
      </w:r>
      <w:r>
        <w:t xml:space="preserve">, no una suma de requisitos. Combina capacidad, voluntad, solvencia, garantías, entorno y calidad de la información.</w:t>
      </w:r>
    </w:p>
    <w:p>
      <w:pPr>
        <w:pStyle w:val="ListParagraph"/>
        <w:numPr>
          <w:ilvl w:val="0"/>
          <w:numId w:val="35"/>
        </w:numPr>
        <w:spacing w:after="60"/>
        <w:jc w:val="left"/>
      </w:pPr>
      <w:r>
        <w:rPr>
          <w:b/>
          <w:bCs/>
        </w:rPr>
        <w:t xml:space="preserve">La capacidad de pago real es el centro de la decisión.</w:t>
      </w:r>
      <w:r>
        <w:t xml:space="preserve"> Debe calcularse sobre ingresos netos verificados, gastos esenciales realistas y la totalidad de las deudas, y someterse a escenarios adversos.</w:t>
      </w:r>
    </w:p>
    <w:p>
      <w:pPr>
        <w:pStyle w:val="ListParagraph"/>
        <w:numPr>
          <w:ilvl w:val="0"/>
          <w:numId w:val="35"/>
        </w:numPr>
        <w:spacing w:after="60"/>
        <w:jc w:val="left"/>
      </w:pPr>
      <w:r>
        <w:rPr>
          <w:b/>
          <w:bCs/>
        </w:rPr>
        <w:t xml:space="preserve">La garantía es la segunda fuente de pago.</w:t>
      </w:r>
      <w:r>
        <w:t xml:space="preserve"> Reduce la pérdida esperada, pero no la probabilidad de incumplimiento; nunca debe justificar una operación sin capacidad (Caso 4).</w:t>
      </w:r>
    </w:p>
    <w:p>
      <w:pPr>
        <w:pStyle w:val="ListParagraph"/>
        <w:numPr>
          <w:ilvl w:val="0"/>
          <w:numId w:val="35"/>
        </w:numPr>
        <w:spacing w:after="60"/>
        <w:jc w:val="left"/>
      </w:pPr>
      <w:r>
        <w:rPr>
          <w:b/>
          <w:bCs/>
        </w:rPr>
        <w:t xml:space="preserve">El historial crediticio</w:t>
      </w:r>
      <w:r>
        <w:t xml:space="preserve"> es la mejor evidencia de voluntad de pago, pero debe interpretarse con prudencia y usarse conforme al marco de protección de datos e información crediticia.</w:t>
      </w:r>
    </w:p>
    <w:p>
      <w:pPr>
        <w:pStyle w:val="ListParagraph"/>
        <w:numPr>
          <w:ilvl w:val="0"/>
          <w:numId w:val="35"/>
        </w:numPr>
        <w:spacing w:after="60"/>
        <w:jc w:val="left"/>
      </w:pPr>
      <w:r>
        <w:rPr>
          <w:b/>
          <w:bCs/>
        </w:rPr>
        <w:t xml:space="preserve">La puntuación interna ordena y estandariza</w:t>
      </w:r>
      <w:r>
        <w:t xml:space="preserve">, pero los riesgos críticos deben evaluarse antes y por separado.</w:t>
      </w:r>
    </w:p>
    <w:p>
      <w:pPr>
        <w:pStyle w:val="ListParagraph"/>
        <w:numPr>
          <w:ilvl w:val="0"/>
          <w:numId w:val="35"/>
        </w:numPr>
        <w:spacing w:after="60"/>
        <w:jc w:val="left"/>
      </w:pPr>
      <w:r>
        <w:rPr>
          <w:b/>
          <w:bCs/>
        </w:rPr>
        <w:t xml:space="preserve">La documentación y la trazabilidad</w:t>
      </w:r>
      <w:r>
        <w:t xml:space="preserve"> protegen a la institución, al cliente y al analista, y permiten aprender de los resultados.</w:t>
      </w:r>
    </w:p>
    <w:p>
      <w:pPr>
        <w:pStyle w:val="ListParagraph"/>
        <w:numPr>
          <w:ilvl w:val="0"/>
          <w:numId w:val="35"/>
        </w:numPr>
        <w:spacing w:after="60"/>
        <w:jc w:val="left"/>
      </w:pPr>
      <w:r>
        <w:rPr>
          <w:b/>
          <w:bCs/>
        </w:rPr>
        <w:t xml:space="preserve">El seguimiento</w:t>
      </w:r>
      <w:r>
        <w:t xml:space="preserve"> cierra el ciclo: detecta el deterioro a tiempo y valida la metodología.</w:t>
      </w:r>
    </w:p>
    <w:p>
      <w:pPr>
        <w:pStyle w:val="ListParagraph"/>
        <w:numPr>
          <w:ilvl w:val="0"/>
          <w:numId w:val="35"/>
        </w:numPr>
        <w:spacing w:after="60"/>
        <w:jc w:val="left"/>
      </w:pPr>
      <w:r>
        <w:rPr>
          <w:b/>
          <w:bCs/>
        </w:rPr>
        <w:t xml:space="preserve">El marco normativo salvadoreño</w:t>
      </w:r>
      <w:r>
        <w:t xml:space="preserve"> es específico por tipo de entidad y cambia: en 2025 entró en vigor una nueva ley contra el lavado de activos y en 2024 una ley de protección de datos personales; la verificación de vigencia debe ser permanente.</w:t>
      </w:r>
    </w:p>
    <w:p>
      <w:pPr>
        <w:pStyle w:val="Heading2"/>
        <w:keepNext/>
      </w:pPr>
      <w:r>
        <w:t xml:space="preserve">18.2 Recomendaciones generales (aplicables sin cambios de política)</w:t>
      </w:r>
    </w:p>
    <w:p>
      <w:pPr>
        <w:pStyle w:val="ListParagraph"/>
        <w:numPr>
          <w:ilvl w:val="0"/>
          <w:numId w:val="36"/>
        </w:numPr>
        <w:spacing w:after="60"/>
        <w:jc w:val="left"/>
      </w:pPr>
      <w:r>
        <w:t xml:space="preserve">Aplicar la regla «lo que no se verifica no se usa» en todos los cálculos.</w:t>
      </w:r>
    </w:p>
    <w:p>
      <w:pPr>
        <w:pStyle w:val="ListParagraph"/>
        <w:numPr>
          <w:ilvl w:val="0"/>
          <w:numId w:val="36"/>
        </w:numPr>
        <w:spacing w:after="60"/>
        <w:jc w:val="left"/>
      </w:pPr>
      <w:r>
        <w:t xml:space="preserve">Incluir al menos un escenario adverso en cada evaluación.</w:t>
      </w:r>
    </w:p>
    <w:p>
      <w:pPr>
        <w:pStyle w:val="ListParagraph"/>
        <w:numPr>
          <w:ilvl w:val="0"/>
          <w:numId w:val="36"/>
        </w:numPr>
        <w:spacing w:after="60"/>
        <w:jc w:val="left"/>
      </w:pPr>
      <w:r>
        <w:t xml:space="preserve">Registrar fuente y fecha de cada dato relevante.</w:t>
      </w:r>
    </w:p>
    <w:p>
      <w:pPr>
        <w:pStyle w:val="ListParagraph"/>
        <w:numPr>
          <w:ilvl w:val="0"/>
          <w:numId w:val="36"/>
        </w:numPr>
        <w:spacing w:after="60"/>
        <w:jc w:val="left"/>
      </w:pPr>
      <w:r>
        <w:t xml:space="preserve">Cruzar sistemáticamente las deudas declaradas con el historial crediticio.</w:t>
      </w:r>
    </w:p>
    <w:p>
      <w:pPr>
        <w:pStyle w:val="ListParagraph"/>
        <w:numPr>
          <w:ilvl w:val="0"/>
          <w:numId w:val="36"/>
        </w:numPr>
        <w:spacing w:after="60"/>
        <w:jc w:val="left"/>
      </w:pPr>
      <w:r>
        <w:t xml:space="preserve">Redactar la recomendación con cifras y evidencia, incluidas las limitaciones del análisis.</w:t>
      </w:r>
    </w:p>
    <w:p>
      <w:pPr>
        <w:pStyle w:val="ListParagraph"/>
        <w:numPr>
          <w:ilvl w:val="0"/>
          <w:numId w:val="36"/>
        </w:numPr>
        <w:spacing w:after="60"/>
        <w:jc w:val="left"/>
      </w:pPr>
      <w:r>
        <w:t xml:space="preserve">Usar las listas de verificación de los Anexos A, F, H e I.</w:t>
      </w:r>
    </w:p>
    <w:p>
      <w:pPr>
        <w:pStyle w:val="Heading2"/>
        <w:keepNext/>
      </w:pPr>
      <w:r>
        <w:t xml:space="preserve">18.3 Recomendaciones que requieren aprobación institucional</w:t>
      </w:r>
    </w:p>
    <w:p>
      <w:pPr>
        <w:keepNext/>
        <w:spacing w:after="60" w:before="120"/>
      </w:pPr>
      <w:r>
        <w:rPr>
          <w:b/>
          <w:bCs/>
          <w:color w:val="1F3864"/>
          <w:sz w:val="19"/>
          <w:szCs w:val="19"/>
        </w:rPr>
        <w:t xml:space="preserve">Tabla 18.1. Recomendaciones sujetas a aprobación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6"/>
        <w:gridCol w:w="3182"/>
        <w:gridCol w:w="2622"/>
      </w:tblGrid>
      <w:tr>
        <w:trPr>
          <w:cantSplit/>
          <w:tblHeader/>
        </w:trPr>
        <w:tc>
          <w:tcPr>
            <w:tcW w:type="dxa" w:w="355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Recomendación</w:t>
            </w:r>
          </w:p>
        </w:tc>
        <w:tc>
          <w:tcPr>
            <w:tcW w:type="dxa" w:w="318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Por qué requiere aprobación</w:t>
            </w:r>
          </w:p>
        </w:tc>
        <w:tc>
          <w:tcPr>
            <w:tcW w:type="dxa" w:w="262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Instancia sugerida</w:t>
            </w:r>
          </w:p>
        </w:tc>
      </w:tr>
      <w:tr>
        <w:trPr>
          <w:cantSplit/>
        </w:trPr>
        <w:tc>
          <w:tcPr>
            <w:tcW w:type="dxa" w:w="355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Adoptar rangos de relación deuda-ingreso, capacidad residual y cobertura</w:t>
            </w:r>
          </w:p>
        </w:tc>
        <w:tc>
          <w:tcPr>
            <w:tcW w:type="dxa" w:w="318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Afectan la admisión de clientes y el apetito de riesgo.</w:t>
            </w:r>
          </w:p>
        </w:tc>
        <w:tc>
          <w:tcPr>
            <w:tcW w:type="dxa" w:w="262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Junta Directiva / comité de riesgos, según política.</w:t>
            </w:r>
          </w:p>
        </w:tc>
      </w:tr>
      <w:tr>
        <w:trPr>
          <w:cantSplit/>
        </w:trPr>
        <w:tc>
          <w:tcPr>
            <w:tcW w:type="dxa" w:w="355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Implementar la matriz de puntuación con sus ponderaciones y umbrales</w:t>
            </w:r>
          </w:p>
        </w:tc>
        <w:tc>
          <w:tcPr>
            <w:tcW w:type="dxa" w:w="318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Es un modelo de decisión que debe validarse.</w:t>
            </w:r>
          </w:p>
        </w:tc>
        <w:tc>
          <w:tcPr>
            <w:tcW w:type="dxa" w:w="262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Comité de riesgos; validación independiente.</w:t>
            </w:r>
          </w:p>
        </w:tc>
      </w:tr>
      <w:tr>
        <w:trPr>
          <w:cantSplit/>
        </w:trPr>
        <w:tc>
          <w:tcPr>
            <w:tcW w:type="dxa" w:w="355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Definir gastos mínimos de referencia por tamaño de hogar</w:t>
            </w:r>
          </w:p>
        </w:tc>
        <w:tc>
          <w:tcPr>
            <w:tcW w:type="dxa" w:w="318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Parámetro que modifica la capacidad calculada.</w:t>
            </w:r>
          </w:p>
        </w:tc>
        <w:tc>
          <w:tcPr>
            <w:tcW w:type="dxa" w:w="262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Comité de riesgos.</w:t>
            </w:r>
          </w:p>
        </w:tc>
      </w:tr>
      <w:tr>
        <w:trPr>
          <w:cantSplit/>
        </w:trPr>
        <w:tc>
          <w:tcPr>
            <w:tcW w:type="dxa" w:w="355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Establecer reglas de riesgo crítico y de excepción</w:t>
            </w:r>
          </w:p>
        </w:tc>
        <w:tc>
          <w:tcPr>
            <w:tcW w:type="dxa" w:w="318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Determinan qué operaciones no pueden aprobarse o deben escalarse.</w:t>
            </w:r>
          </w:p>
        </w:tc>
        <w:tc>
          <w:tcPr>
            <w:tcW w:type="dxa" w:w="262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Junta Directiva / comité de riesgos.</w:t>
            </w:r>
          </w:p>
        </w:tc>
      </w:tr>
      <w:tr>
        <w:trPr>
          <w:cantSplit/>
        </w:trPr>
        <w:tc>
          <w:tcPr>
            <w:tcW w:type="dxa" w:w="355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Fijar descuentos de realización y costos de ejecución por tipo de garantía</w:t>
            </w:r>
          </w:p>
        </w:tc>
        <w:tc>
          <w:tcPr>
            <w:tcW w:type="dxa" w:w="318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Afectan la cobertura y las condiciones.</w:t>
            </w:r>
          </w:p>
        </w:tc>
        <w:tc>
          <w:tcPr>
            <w:tcW w:type="dxa" w:w="262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Comité de riesgos con apoyo legal.</w:t>
            </w:r>
          </w:p>
        </w:tc>
      </w:tr>
      <w:tr>
        <w:trPr>
          <w:cantSplit/>
        </w:trPr>
        <w:tc>
          <w:tcPr>
            <w:tcW w:type="dxa" w:w="355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Adoptar los formatos de los anexos como obligatorios</w:t>
            </w:r>
          </w:p>
        </w:tc>
        <w:tc>
          <w:tcPr>
            <w:tcW w:type="dxa" w:w="318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Cambian procedimientos.</w:t>
            </w:r>
          </w:p>
        </w:tc>
        <w:tc>
          <w:tcPr>
            <w:tcW w:type="dxa" w:w="262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Gerencia y control interno.</w:t>
            </w:r>
          </w:p>
        </w:tc>
      </w:tr>
      <w:tr>
        <w:trPr>
          <w:cantSplit/>
        </w:trPr>
        <w:tc>
          <w:tcPr>
            <w:tcW w:type="dxa" w:w="355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Programa de validación retrospectiva anual</w:t>
            </w:r>
          </w:p>
        </w:tc>
        <w:tc>
          <w:tcPr>
            <w:tcW w:type="dxa" w:w="318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Requiere recursos y datos.</w:t>
            </w:r>
          </w:p>
        </w:tc>
        <w:tc>
          <w:tcPr>
            <w:tcW w:type="dxa" w:w="262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Área de riesgos; auditoría interna.</w:t>
            </w:r>
          </w:p>
        </w:tc>
      </w:tr>
    </w:tbl>
    <w:p>
      <w:pPr>
        <w:spacing w:after="120"/>
      </w:pPr>
    </w:p>
    <w:p>
      <w:pPr>
        <w:pStyle w:val="Heading2"/>
        <w:keepNext/>
      </w:pPr>
      <w:r>
        <w:t xml:space="preserve">18.4 Mejora continua</w:t>
      </w:r>
    </w:p>
    <w:p>
      <w:pPr>
        <w:pStyle w:val="ListParagraph"/>
        <w:numPr>
          <w:ilvl w:val="0"/>
          <w:numId w:val="37"/>
        </w:numPr>
        <w:spacing w:after="60"/>
        <w:jc w:val="left"/>
      </w:pPr>
      <w:r>
        <w:t xml:space="preserve">Medir la mora por cosecha y por rango de puntuación.</w:t>
      </w:r>
    </w:p>
    <w:p>
      <w:pPr>
        <w:pStyle w:val="ListParagraph"/>
        <w:numPr>
          <w:ilvl w:val="0"/>
          <w:numId w:val="37"/>
        </w:numPr>
        <w:spacing w:after="60"/>
        <w:jc w:val="left"/>
      </w:pPr>
      <w:r>
        <w:t xml:space="preserve">Analizar las excepciones aprobadas y su comportamiento.</w:t>
      </w:r>
    </w:p>
    <w:p>
      <w:pPr>
        <w:pStyle w:val="ListParagraph"/>
        <w:numPr>
          <w:ilvl w:val="0"/>
          <w:numId w:val="37"/>
        </w:numPr>
        <w:spacing w:after="60"/>
        <w:jc w:val="left"/>
      </w:pPr>
      <w:r>
        <w:t xml:space="preserve">Revisar semestralmente el inventario normativo (Anexo M).</w:t>
      </w:r>
    </w:p>
    <w:p>
      <w:pPr>
        <w:pStyle w:val="ListParagraph"/>
        <w:numPr>
          <w:ilvl w:val="0"/>
          <w:numId w:val="37"/>
        </w:numPr>
        <w:spacing w:after="60"/>
        <w:jc w:val="left"/>
      </w:pPr>
      <w:r>
        <w:t xml:space="preserve">Capacitar al personal con los casos del Capítulo 16 y casos reales anonimizados.</w:t>
      </w:r>
    </w:p>
    <w:p>
      <w:pPr>
        <w:pStyle w:val="ListParagraph"/>
        <w:numPr>
          <w:ilvl w:val="0"/>
          <w:numId w:val="37"/>
        </w:numPr>
        <w:spacing w:after="60"/>
        <w:jc w:val="left"/>
      </w:pPr>
      <w:r>
        <w:t xml:space="preserve">Actualizar esta guía cuando cambien la normativa, las políticas o los resultados de la validación.</w:t>
      </w:r>
    </w:p>
    <w:p>
      <w:pPr>
        <w:pStyle w:val="Heading1"/>
        <w:pageBreakBefore/>
      </w:pPr>
      <w:r>
        <w:t xml:space="preserve">Anexo A. Lista de verificación documental</w:t>
      </w:r>
    </w:p>
    <w:p>
      <w:pPr>
        <w:keepNext w:val="false"/>
        <w:spacing w:after="120" w:before="0"/>
        <w:jc w:val="both"/>
      </w:pPr>
      <w:r>
        <w:t xml:space="preserve">Marque la columna correspondiente. Adapte las filas según el producto y el tipo de solicitante.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684"/>
        <w:gridCol w:w="1684"/>
        <w:gridCol w:w="2248"/>
      </w:tblGrid>
      <w:tr>
        <w:trPr>
          <w:cantSplit/>
          <w:tblHeader/>
        </w:trPr>
        <w:tc>
          <w:tcPr>
            <w:tcW w:type="dxa" w:w="3744"/>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Documento</w:t>
            </w:r>
          </w:p>
        </w:tc>
        <w:tc>
          <w:tcPr>
            <w:tcW w:type="dxa" w:w="1684"/>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Recibido</w:t>
            </w:r>
          </w:p>
        </w:tc>
        <w:tc>
          <w:tcPr>
            <w:tcW w:type="dxa" w:w="1684"/>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Fecha del documento</w:t>
            </w:r>
          </w:p>
        </w:tc>
        <w:tc>
          <w:tcPr>
            <w:tcW w:type="dxa" w:w="2248"/>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Verificado (cómo / quién)</w:t>
            </w:r>
          </w:p>
        </w:tc>
      </w:tr>
      <w:tr>
        <w:trPr>
          <w:cantSplit/>
        </w:trPr>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Solicitud de crédito firmada</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Sí  ☐ No  ☐ N/A</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22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Documento de identidad vigente</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Sí  ☐ No  ☐ N/A</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22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Autorización de consulta de historial crediticio</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Sí  ☐ No  ☐ N/A</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22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Formularios de conocimiento del cliente (cumplimiento)</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Sí  ☐ No  ☐ N/A</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22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Constancia de salario / ingresos</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Sí  ☐ No  ☐ N/A</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22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Boletas o comprobantes de pago</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Sí  ☐ No  ☐ N/A</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22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Estados de cuenta del período exigido</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Sí  ☐ No  ☐ N/A</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22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Declaraciones tributarias (independientes y negocios)</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Sí  ☐ No  ☐ N/A</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22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Estados financieros (negocios / personas jurídicas)</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Sí  ☐ No  ☐ N/A</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22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Contratos de servicios o con clientes</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Sí  ☐ No  ☐ N/A</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22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Documentos de constitución y poderes (personas jurídicas)</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Sí  ☐ No  ☐ N/A</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22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Identificación de beneficiarios finales</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Sí  ☐ No  ☐ N/A</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22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Cotizaciones o facturas proforma del destino</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Sí  ☐ No  ☐ N/A</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22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Documentos de la garantía (certificación registral, avalúo)</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Sí  ☐ No  ☐ N/A</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22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Documentos del fiador o codeudor</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Sí  ☐ No  ☐ N/A</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22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Otros exigidos por la política del producto</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Sí  ☐ No  ☐ N/A</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22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bl>
    <w:p>
      <w:pPr>
        <w:spacing w:after="120"/>
      </w:pPr>
    </w:p>
    <w:p>
      <w:pPr>
        <w:keepNext w:val="false"/>
        <w:spacing w:after="120" w:before="0"/>
        <w:jc w:val="both"/>
      </w:pPr>
      <w:r>
        <w:t xml:space="preserve">Responsable de la recepción: ____________________   Fecha: ____/____/______</w:t>
      </w:r>
    </w:p>
    <w:p>
      <w:pPr>
        <w:pStyle w:val="Heading1"/>
        <w:pageBreakBefore/>
      </w:pPr>
      <w:r>
        <w:t xml:space="preserve">Anexo B. Formato de análisis de ingresos y gastos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9"/>
        <w:gridCol w:w="1310"/>
        <w:gridCol w:w="1684"/>
        <w:gridCol w:w="1123"/>
        <w:gridCol w:w="1874"/>
      </w:tblGrid>
      <w:tr>
        <w:trPr>
          <w:cantSplit/>
          <w:tblHeader/>
        </w:trPr>
        <w:tc>
          <w:tcPr>
            <w:tcW w:type="dxa" w:w="336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Concepto</w:t>
            </w:r>
          </w:p>
        </w:tc>
        <w:tc>
          <w:tcPr>
            <w:tcW w:type="dxa" w:w="131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Monto US$</w:t>
            </w:r>
          </w:p>
        </w:tc>
        <w:tc>
          <w:tcPr>
            <w:tcW w:type="dxa" w:w="1684"/>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Fuente</w:t>
            </w:r>
          </w:p>
        </w:tc>
        <w:tc>
          <w:tcPr>
            <w:tcW w:type="dxa" w:w="1123"/>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Fecha</w:t>
            </w:r>
          </w:p>
        </w:tc>
        <w:tc>
          <w:tcPr>
            <w:tcW w:type="dxa" w:w="1874"/>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Observación</w:t>
            </w:r>
          </w:p>
        </w:tc>
      </w:tr>
      <w:tr>
        <w:trPr>
          <w:cantSplit/>
        </w:trPr>
        <w:tc>
          <w:tcPr>
            <w:tcW w:type="dxa" w:w="3369"/>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r>
              <w:rPr>
                <w:b/>
                <w:bCs/>
                <w:sz w:val="17"/>
                <w:szCs w:val="17"/>
              </w:rPr>
              <w:t xml:space="preserve">INGRESOS</w:t>
            </w:r>
          </w:p>
        </w:tc>
        <w:tc>
          <w:tcPr>
            <w:tcW w:type="dxa" w:w="1310"/>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p>
        </w:tc>
        <w:tc>
          <w:tcPr>
            <w:tcW w:type="dxa" w:w="1684"/>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p>
        </w:tc>
        <w:tc>
          <w:tcPr>
            <w:tcW w:type="dxa" w:w="1123"/>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p>
        </w:tc>
        <w:tc>
          <w:tcPr>
            <w:tcW w:type="dxa" w:w="1874"/>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p>
        </w:tc>
      </w:tr>
      <w:tr>
        <w:trPr>
          <w:cantSplit/>
        </w:trPr>
        <w:tc>
          <w:tcPr>
            <w:tcW w:type="dxa" w:w="336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Ingreso bruto fuente 1</w:t>
            </w:r>
          </w:p>
        </w:tc>
        <w:tc>
          <w:tcPr>
            <w:tcW w:type="dxa" w:w="131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87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36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Descuentos de ley / retenciones</w:t>
            </w:r>
          </w:p>
        </w:tc>
        <w:tc>
          <w:tcPr>
            <w:tcW w:type="dxa" w:w="131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87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36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Gastos de la actividad (independientes)</w:t>
            </w:r>
          </w:p>
        </w:tc>
        <w:tc>
          <w:tcPr>
            <w:tcW w:type="dxa" w:w="131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87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36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Ingreso neto fuente 1</w:t>
            </w:r>
          </w:p>
        </w:tc>
        <w:tc>
          <w:tcPr>
            <w:tcW w:type="dxa" w:w="131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87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36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Ingreso neto fuente 2</w:t>
            </w:r>
          </w:p>
        </w:tc>
        <w:tc>
          <w:tcPr>
            <w:tcW w:type="dxa" w:w="131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87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36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Ingreso neto fuente 3</w:t>
            </w:r>
          </w:p>
        </w:tc>
        <w:tc>
          <w:tcPr>
            <w:tcW w:type="dxa" w:w="131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87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369"/>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r>
              <w:rPr>
                <w:b/>
                <w:bCs/>
                <w:sz w:val="17"/>
                <w:szCs w:val="17"/>
              </w:rPr>
              <w:t xml:space="preserve">TOTAL INGRESO NETO VERIFICADO</w:t>
            </w:r>
          </w:p>
        </w:tc>
        <w:tc>
          <w:tcPr>
            <w:tcW w:type="dxa" w:w="1310"/>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r>
              <w:rPr>
                <w:b/>
                <w:bCs/>
                <w:sz w:val="17"/>
                <w:szCs w:val="17"/>
              </w:rPr>
              <w:t xml:space="preserve"> </w:t>
            </w:r>
          </w:p>
        </w:tc>
        <w:tc>
          <w:tcPr>
            <w:tcW w:type="dxa" w:w="1684"/>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p>
        </w:tc>
        <w:tc>
          <w:tcPr>
            <w:tcW w:type="dxa" w:w="1123"/>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p>
        </w:tc>
        <w:tc>
          <w:tcPr>
            <w:tcW w:type="dxa" w:w="1874"/>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p>
        </w:tc>
      </w:tr>
      <w:tr>
        <w:trPr>
          <w:cantSplit/>
        </w:trPr>
        <w:tc>
          <w:tcPr>
            <w:tcW w:type="dxa" w:w="3369"/>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r>
              <w:rPr>
                <w:b/>
                <w:bCs/>
                <w:sz w:val="17"/>
                <w:szCs w:val="17"/>
              </w:rPr>
              <w:t xml:space="preserve">GASTOS ESENCIALES</w:t>
            </w:r>
          </w:p>
        </w:tc>
        <w:tc>
          <w:tcPr>
            <w:tcW w:type="dxa" w:w="1310"/>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p>
        </w:tc>
        <w:tc>
          <w:tcPr>
            <w:tcW w:type="dxa" w:w="1684"/>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p>
        </w:tc>
        <w:tc>
          <w:tcPr>
            <w:tcW w:type="dxa" w:w="1123"/>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p>
        </w:tc>
        <w:tc>
          <w:tcPr>
            <w:tcW w:type="dxa" w:w="1874"/>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p>
        </w:tc>
      </w:tr>
      <w:tr>
        <w:trPr>
          <w:cantSplit/>
        </w:trPr>
        <w:tc>
          <w:tcPr>
            <w:tcW w:type="dxa" w:w="336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Vivienda (alquiler / mantenimiento)</w:t>
            </w:r>
          </w:p>
        </w:tc>
        <w:tc>
          <w:tcPr>
            <w:tcW w:type="dxa" w:w="131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87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36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Alimentación</w:t>
            </w:r>
          </w:p>
        </w:tc>
        <w:tc>
          <w:tcPr>
            <w:tcW w:type="dxa" w:w="131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87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36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Servicios básicos</w:t>
            </w:r>
          </w:p>
        </w:tc>
        <w:tc>
          <w:tcPr>
            <w:tcW w:type="dxa" w:w="131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87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36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Transporte</w:t>
            </w:r>
          </w:p>
        </w:tc>
        <w:tc>
          <w:tcPr>
            <w:tcW w:type="dxa" w:w="131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87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36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Salud y educación</w:t>
            </w:r>
          </w:p>
        </w:tc>
        <w:tc>
          <w:tcPr>
            <w:tcW w:type="dxa" w:w="131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87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36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Otras obligaciones no financieras</w:t>
            </w:r>
          </w:p>
        </w:tc>
        <w:tc>
          <w:tcPr>
            <w:tcW w:type="dxa" w:w="131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87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36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Total declarado</w:t>
            </w:r>
          </w:p>
        </w:tc>
        <w:tc>
          <w:tcPr>
            <w:tcW w:type="dxa" w:w="131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p>
        </w:tc>
        <w:tc>
          <w:tcPr>
            <w:tcW w:type="dxa" w:w="187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p>
        </w:tc>
      </w:tr>
      <w:tr>
        <w:trPr>
          <w:cantSplit/>
        </w:trPr>
        <w:tc>
          <w:tcPr>
            <w:tcW w:type="dxa" w:w="336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Mínimo institucional de referencia</w:t>
            </w:r>
          </w:p>
        </w:tc>
        <w:tc>
          <w:tcPr>
            <w:tcW w:type="dxa" w:w="131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p>
        </w:tc>
        <w:tc>
          <w:tcPr>
            <w:tcW w:type="dxa" w:w="187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p>
        </w:tc>
      </w:tr>
      <w:tr>
        <w:trPr>
          <w:cantSplit/>
        </w:trPr>
        <w:tc>
          <w:tcPr>
            <w:tcW w:type="dxa" w:w="3369"/>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r>
              <w:rPr>
                <w:b/>
                <w:bCs/>
                <w:sz w:val="17"/>
                <w:szCs w:val="17"/>
              </w:rPr>
              <w:t xml:space="preserve">GASTOS CONSIDERADOS (el mayor)</w:t>
            </w:r>
          </w:p>
        </w:tc>
        <w:tc>
          <w:tcPr>
            <w:tcW w:type="dxa" w:w="1310"/>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r>
              <w:rPr>
                <w:b/>
                <w:bCs/>
                <w:sz w:val="17"/>
                <w:szCs w:val="17"/>
              </w:rPr>
              <w:t xml:space="preserve"> </w:t>
            </w:r>
          </w:p>
        </w:tc>
        <w:tc>
          <w:tcPr>
            <w:tcW w:type="dxa" w:w="1684"/>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p>
        </w:tc>
        <w:tc>
          <w:tcPr>
            <w:tcW w:type="dxa" w:w="1123"/>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p>
        </w:tc>
        <w:tc>
          <w:tcPr>
            <w:tcW w:type="dxa" w:w="1874"/>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77C02" w:sz="4"/>
              <w:left w:val="single" w:color="C77C02" w:sz="24"/>
              <w:bottom w:val="single" w:color="C77C02" w:sz="4"/>
              <w:right w:val="single" w:color="C77C02" w:sz="4"/>
            </w:tcBorders>
            <w:shd w:fill="FFF4E0" w:color="auto" w:val="clear"/>
            <w:tcMar>
              <w:top w:type="dxa" w:w="100"/>
              <w:left w:type="dxa" w:w="180"/>
              <w:bottom w:type="dxa" w:w="100"/>
              <w:right w:type="dxa" w:w="180"/>
            </w:tcMar>
          </w:tcPr>
          <w:p>
            <w:pPr>
              <w:spacing w:after="60"/>
            </w:pPr>
            <w:r>
              <w:rPr>
                <w:b/>
                <w:bCs/>
                <w:color w:val="C77C02"/>
                <w:sz w:val="20"/>
                <w:szCs w:val="20"/>
              </w:rPr>
              <w:t xml:space="preserve">Nota metodológica</w:t>
            </w:r>
          </w:p>
          <w:p>
            <w:pPr>
              <w:spacing w:after="50"/>
              <w:jc w:val="left"/>
            </w:pPr>
            <w:r>
              <w:rPr>
                <w:sz w:val="20"/>
                <w:szCs w:val="20"/>
              </w:rPr>
              <w:t xml:space="preserve">No registre cuotas de préstamos o tarjetas en este formato: se registran en el Anexo C como obligaciones financieras.</w:t>
            </w:r>
          </w:p>
        </w:tc>
      </w:tr>
    </w:tbl>
    <w:p>
      <w:pPr>
        <w:spacing w:after="120"/>
      </w:pPr>
    </w:p>
    <w:p>
      <w:pPr>
        <w:pStyle w:val="Heading1"/>
        <w:pageBreakBefore/>
      </w:pPr>
      <w:r>
        <w:t xml:space="preserve">Anexo C. Hoja de cálculo de capacidad de 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8"/>
        <w:gridCol w:w="3556"/>
        <w:gridCol w:w="3182"/>
        <w:gridCol w:w="1874"/>
      </w:tblGrid>
      <w:tr>
        <w:trPr>
          <w:cantSplit/>
          <w:tblHeader/>
        </w:trPr>
        <w:tc>
          <w:tcPr>
            <w:tcW w:type="dxa" w:w="748"/>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Línea</w:t>
            </w:r>
          </w:p>
        </w:tc>
        <w:tc>
          <w:tcPr>
            <w:tcW w:type="dxa" w:w="355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Concepto</w:t>
            </w:r>
          </w:p>
        </w:tc>
        <w:tc>
          <w:tcPr>
            <w:tcW w:type="dxa" w:w="318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Fórmula / origen</w:t>
            </w:r>
          </w:p>
        </w:tc>
        <w:tc>
          <w:tcPr>
            <w:tcW w:type="dxa" w:w="1874"/>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US$ / %</w:t>
            </w:r>
          </w:p>
        </w:tc>
      </w:tr>
      <w:tr>
        <w:trPr>
          <w:cantSplit/>
        </w:trPr>
        <w:tc>
          <w:tcPr>
            <w:tcW w:type="dxa" w:w="7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1</w:t>
            </w:r>
          </w:p>
        </w:tc>
        <w:tc>
          <w:tcPr>
            <w:tcW w:type="dxa" w:w="355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Ingreso neto verificado</w:t>
            </w:r>
          </w:p>
        </w:tc>
        <w:tc>
          <w:tcPr>
            <w:tcW w:type="dxa" w:w="318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Anexo B</w:t>
            </w:r>
          </w:p>
        </w:tc>
        <w:tc>
          <w:tcPr>
            <w:tcW w:type="dxa" w:w="187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7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2</w:t>
            </w:r>
          </w:p>
        </w:tc>
        <w:tc>
          <w:tcPr>
            <w:tcW w:type="dxa" w:w="355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Gastos considerados</w:t>
            </w:r>
          </w:p>
        </w:tc>
        <w:tc>
          <w:tcPr>
            <w:tcW w:type="dxa" w:w="318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Anexo B</w:t>
            </w:r>
          </w:p>
        </w:tc>
        <w:tc>
          <w:tcPr>
            <w:tcW w:type="dxa" w:w="187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7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3</w:t>
            </w:r>
          </w:p>
        </w:tc>
        <w:tc>
          <w:tcPr>
            <w:tcW w:type="dxa" w:w="355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Ingreso neto disponible</w:t>
            </w:r>
          </w:p>
        </w:tc>
        <w:tc>
          <w:tcPr>
            <w:tcW w:type="dxa" w:w="318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1 − 2</w:t>
            </w:r>
          </w:p>
        </w:tc>
        <w:tc>
          <w:tcPr>
            <w:tcW w:type="dxa" w:w="187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7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4</w:t>
            </w:r>
          </w:p>
        </w:tc>
        <w:tc>
          <w:tcPr>
            <w:tcW w:type="dxa" w:w="355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Obligaciones financieras existentes</w:t>
            </w:r>
          </w:p>
        </w:tc>
        <w:tc>
          <w:tcPr>
            <w:tcW w:type="dxa" w:w="318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Historial y declaración</w:t>
            </w:r>
          </w:p>
        </w:tc>
        <w:tc>
          <w:tcPr>
            <w:tcW w:type="dxa" w:w="187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7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5</w:t>
            </w:r>
          </w:p>
        </w:tc>
        <w:tc>
          <w:tcPr>
            <w:tcW w:type="dxa" w:w="355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Monto solicitado</w:t>
            </w:r>
          </w:p>
        </w:tc>
        <w:tc>
          <w:tcPr>
            <w:tcW w:type="dxa" w:w="318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Solicitud</w:t>
            </w:r>
          </w:p>
        </w:tc>
        <w:tc>
          <w:tcPr>
            <w:tcW w:type="dxa" w:w="187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7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6</w:t>
            </w:r>
          </w:p>
        </w:tc>
        <w:tc>
          <w:tcPr>
            <w:tcW w:type="dxa" w:w="355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Tasa nominal anual</w:t>
            </w:r>
          </w:p>
        </w:tc>
        <w:tc>
          <w:tcPr>
            <w:tcW w:type="dxa" w:w="318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Condiciones</w:t>
            </w:r>
          </w:p>
        </w:tc>
        <w:tc>
          <w:tcPr>
            <w:tcW w:type="dxa" w:w="187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7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7</w:t>
            </w:r>
          </w:p>
        </w:tc>
        <w:tc>
          <w:tcPr>
            <w:tcW w:type="dxa" w:w="355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Plazo (meses)</w:t>
            </w:r>
          </w:p>
        </w:tc>
        <w:tc>
          <w:tcPr>
            <w:tcW w:type="dxa" w:w="318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Condiciones</w:t>
            </w:r>
          </w:p>
        </w:tc>
        <w:tc>
          <w:tcPr>
            <w:tcW w:type="dxa" w:w="187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7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8</w:t>
            </w:r>
          </w:p>
        </w:tc>
        <w:tc>
          <w:tcPr>
            <w:tcW w:type="dxa" w:w="355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Cuota estimada</w:t>
            </w:r>
          </w:p>
        </w:tc>
        <w:tc>
          <w:tcPr>
            <w:tcW w:type="dxa" w:w="318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=PAGO(6/12; 7; −5)</w:t>
            </w:r>
          </w:p>
        </w:tc>
        <w:tc>
          <w:tcPr>
            <w:tcW w:type="dxa" w:w="187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7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9</w:t>
            </w:r>
          </w:p>
        </w:tc>
        <w:tc>
          <w:tcPr>
            <w:tcW w:type="dxa" w:w="355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Relación deuda-ingreso</w:t>
            </w:r>
          </w:p>
        </w:tc>
        <w:tc>
          <w:tcPr>
            <w:tcW w:type="dxa" w:w="318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(4 + 8) ÷ 1 × 100</w:t>
            </w:r>
          </w:p>
        </w:tc>
        <w:tc>
          <w:tcPr>
            <w:tcW w:type="dxa" w:w="187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7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10</w:t>
            </w:r>
          </w:p>
        </w:tc>
        <w:tc>
          <w:tcPr>
            <w:tcW w:type="dxa" w:w="355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Capacidad residual</w:t>
            </w:r>
          </w:p>
        </w:tc>
        <w:tc>
          <w:tcPr>
            <w:tcW w:type="dxa" w:w="318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3 − 4 − 8</w:t>
            </w:r>
          </w:p>
        </w:tc>
        <w:tc>
          <w:tcPr>
            <w:tcW w:type="dxa" w:w="187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7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11</w:t>
            </w:r>
          </w:p>
        </w:tc>
        <w:tc>
          <w:tcPr>
            <w:tcW w:type="dxa" w:w="355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Capacidad residual / ingreso neto</w:t>
            </w:r>
          </w:p>
        </w:tc>
        <w:tc>
          <w:tcPr>
            <w:tcW w:type="dxa" w:w="318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10 ÷ 1 × 100</w:t>
            </w:r>
          </w:p>
        </w:tc>
        <w:tc>
          <w:tcPr>
            <w:tcW w:type="dxa" w:w="187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7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12</w:t>
            </w:r>
          </w:p>
        </w:tc>
        <w:tc>
          <w:tcPr>
            <w:tcW w:type="dxa" w:w="355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Escenario: % de variación del ingreso</w:t>
            </w:r>
          </w:p>
        </w:tc>
        <w:tc>
          <w:tcPr>
            <w:tcW w:type="dxa" w:w="318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Supuesto</w:t>
            </w:r>
          </w:p>
        </w:tc>
        <w:tc>
          <w:tcPr>
            <w:tcW w:type="dxa" w:w="187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7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13</w:t>
            </w:r>
          </w:p>
        </w:tc>
        <w:tc>
          <w:tcPr>
            <w:tcW w:type="dxa" w:w="355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Escenario: % de variación de gastos</w:t>
            </w:r>
          </w:p>
        </w:tc>
        <w:tc>
          <w:tcPr>
            <w:tcW w:type="dxa" w:w="318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Supuesto</w:t>
            </w:r>
          </w:p>
        </w:tc>
        <w:tc>
          <w:tcPr>
            <w:tcW w:type="dxa" w:w="187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7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14</w:t>
            </w:r>
          </w:p>
        </w:tc>
        <w:tc>
          <w:tcPr>
            <w:tcW w:type="dxa" w:w="355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Capacidad residual adversa</w:t>
            </w:r>
          </w:p>
        </w:tc>
        <w:tc>
          <w:tcPr>
            <w:tcW w:type="dxa" w:w="318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1 × (1 + 12) − 2 × (1 + 13) − 4 − 8</w:t>
            </w:r>
          </w:p>
        </w:tc>
        <w:tc>
          <w:tcPr>
            <w:tcW w:type="dxa" w:w="187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7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15</w:t>
            </w:r>
          </w:p>
        </w:tc>
        <w:tc>
          <w:tcPr>
            <w:tcW w:type="dxa" w:w="355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Cobertura del servicio de la deuda (negocios)</w:t>
            </w:r>
          </w:p>
        </w:tc>
        <w:tc>
          <w:tcPr>
            <w:tcW w:type="dxa" w:w="318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Flujo disponible ÷ (4 + 8)</w:t>
            </w:r>
          </w:p>
        </w:tc>
        <w:tc>
          <w:tcPr>
            <w:tcW w:type="dxa" w:w="187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7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16</w:t>
            </w:r>
          </w:p>
        </w:tc>
        <w:tc>
          <w:tcPr>
            <w:tcW w:type="dxa" w:w="355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Resultado frente a rangos de política</w:t>
            </w:r>
          </w:p>
        </w:tc>
        <w:tc>
          <w:tcPr>
            <w:tcW w:type="dxa" w:w="318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Comparación</w:t>
            </w:r>
          </w:p>
        </w:tc>
        <w:tc>
          <w:tcPr>
            <w:tcW w:type="dxa" w:w="187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bl>
    <w:p>
      <w:pPr>
        <w:spacing w:after="120"/>
      </w:pPr>
    </w:p>
    <w:p>
      <w:pPr>
        <w:sectPr>
          <w:headerReference w:type="default" r:id="rId13"/>
          <w:footerReference w:type="default" r:id="rId14"/>
          <w:type w:val="nextPage"/>
          <w:pgSz w:w="12240" w:h="15840" w:orient="portrait"/>
          <w:pgMar w:top="1440" w:right="1440" w:bottom="1300" w:left="1440" w:header="600" w:footer="600" w:gutter="0"/>
          <w:pgNumType/>
          <w:docGrid w:linePitch="360"/>
        </w:sectPr>
      </w:pPr>
    </w:p>
    <w:p>
      <w:pPr>
        <w:pStyle w:val="Heading1"/>
      </w:pPr>
      <w:r>
        <w:t xml:space="preserve">Anexo D. Matriz de evaluación de riesgos (formato editable)</w:t>
      </w:r>
    </w:p>
    <w:tbl>
      <w:tblPr>
        <w:tblW w:type="dxa" w:w="129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0"/>
        <w:gridCol w:w="1016"/>
        <w:gridCol w:w="1016"/>
        <w:gridCol w:w="1016"/>
        <w:gridCol w:w="1016"/>
        <w:gridCol w:w="571"/>
        <w:gridCol w:w="571"/>
        <w:gridCol w:w="762"/>
        <w:gridCol w:w="1143"/>
        <w:gridCol w:w="889"/>
        <w:gridCol w:w="762"/>
        <w:gridCol w:w="1143"/>
        <w:gridCol w:w="952"/>
        <w:gridCol w:w="1023"/>
      </w:tblGrid>
      <w:tr>
        <w:trPr>
          <w:cantSplit/>
          <w:tblHeader/>
        </w:trPr>
        <w:tc>
          <w:tcPr>
            <w:tcW w:type="dxa" w:w="108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4"/>
                <w:szCs w:val="14"/>
              </w:rPr>
              <w:t xml:space="preserve">Riesgo</w:t>
            </w:r>
          </w:p>
        </w:tc>
        <w:tc>
          <w:tcPr>
            <w:tcW w:type="dxa" w:w="101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4"/>
                <w:szCs w:val="14"/>
              </w:rPr>
              <w:t xml:space="preserve">Causa</w:t>
            </w:r>
          </w:p>
        </w:tc>
        <w:tc>
          <w:tcPr>
            <w:tcW w:type="dxa" w:w="101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4"/>
                <w:szCs w:val="14"/>
              </w:rPr>
              <w:t xml:space="preserve">Evento</w:t>
            </w:r>
          </w:p>
        </w:tc>
        <w:tc>
          <w:tcPr>
            <w:tcW w:type="dxa" w:w="101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4"/>
                <w:szCs w:val="14"/>
              </w:rPr>
              <w:t xml:space="preserve">Consecuencia</w:t>
            </w:r>
          </w:p>
        </w:tc>
        <w:tc>
          <w:tcPr>
            <w:tcW w:type="dxa" w:w="101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4"/>
                <w:szCs w:val="14"/>
              </w:rPr>
              <w:t xml:space="preserve">Indicador de alerta</w:t>
            </w:r>
          </w:p>
        </w:tc>
        <w:tc>
          <w:tcPr>
            <w:tcW w:type="dxa" w:w="571"/>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4"/>
                <w:szCs w:val="14"/>
              </w:rPr>
              <w:t xml:space="preserve">Prob. (1–5)</w:t>
            </w:r>
          </w:p>
        </w:tc>
        <w:tc>
          <w:tcPr>
            <w:tcW w:type="dxa" w:w="571"/>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4"/>
                <w:szCs w:val="14"/>
              </w:rPr>
              <w:t xml:space="preserve">Imp. (1–5)</w:t>
            </w:r>
          </w:p>
        </w:tc>
        <w:tc>
          <w:tcPr>
            <w:tcW w:type="dxa" w:w="76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4"/>
                <w:szCs w:val="14"/>
              </w:rPr>
              <w:t xml:space="preserve">Riesgo inherente</w:t>
            </w:r>
          </w:p>
        </w:tc>
        <w:tc>
          <w:tcPr>
            <w:tcW w:type="dxa" w:w="1143"/>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4"/>
                <w:szCs w:val="14"/>
              </w:rPr>
              <w:t xml:space="preserve">Control existente</w:t>
            </w:r>
          </w:p>
        </w:tc>
        <w:tc>
          <w:tcPr>
            <w:tcW w:type="dxa" w:w="88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4"/>
                <w:szCs w:val="14"/>
              </w:rPr>
              <w:t xml:space="preserve">Eficacia del control</w:t>
            </w:r>
          </w:p>
        </w:tc>
        <w:tc>
          <w:tcPr>
            <w:tcW w:type="dxa" w:w="76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4"/>
                <w:szCs w:val="14"/>
              </w:rPr>
              <w:t xml:space="preserve">Riesgo residual</w:t>
            </w:r>
          </w:p>
        </w:tc>
        <w:tc>
          <w:tcPr>
            <w:tcW w:type="dxa" w:w="1143"/>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4"/>
                <w:szCs w:val="14"/>
              </w:rPr>
              <w:t xml:space="preserve">Acción de mitigación</w:t>
            </w:r>
          </w:p>
        </w:tc>
        <w:tc>
          <w:tcPr>
            <w:tcW w:type="dxa" w:w="95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4"/>
                <w:szCs w:val="14"/>
              </w:rPr>
              <w:t xml:space="preserve">Responsable</w:t>
            </w:r>
          </w:p>
        </w:tc>
        <w:tc>
          <w:tcPr>
            <w:tcW w:type="dxa" w:w="1023"/>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4"/>
                <w:szCs w:val="14"/>
              </w:rPr>
              <w:t xml:space="preserve">Fecha / condición de seguimiento</w:t>
            </w:r>
          </w:p>
        </w:tc>
      </w:tr>
      <w:tr>
        <w:trPr>
          <w:cantSplit/>
        </w:trPr>
        <w:tc>
          <w:tcPr>
            <w:tcW w:type="dxa" w:w="108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Incumplimiento</w:t>
            </w:r>
          </w:p>
        </w:tc>
        <w:tc>
          <w:tcPr>
            <w:tcW w:type="dxa" w:w="10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57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57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76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14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88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76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14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9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r>
      <w:tr>
        <w:trPr>
          <w:cantSplit/>
        </w:trPr>
        <w:tc>
          <w:tcPr>
            <w:tcW w:type="dxa" w:w="108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Sobreendeudamiento</w:t>
            </w:r>
          </w:p>
        </w:tc>
        <w:tc>
          <w:tcPr>
            <w:tcW w:type="dxa" w:w="10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57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57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76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14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88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76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14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9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r>
      <w:tr>
        <w:trPr>
          <w:cantSplit/>
        </w:trPr>
        <w:tc>
          <w:tcPr>
            <w:tcW w:type="dxa" w:w="108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Ingresos insuficientes</w:t>
            </w:r>
          </w:p>
        </w:tc>
        <w:tc>
          <w:tcPr>
            <w:tcW w:type="dxa" w:w="10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57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57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76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14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88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76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14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9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r>
      <w:tr>
        <w:trPr>
          <w:cantSplit/>
        </w:trPr>
        <w:tc>
          <w:tcPr>
            <w:tcW w:type="dxa" w:w="108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Ingresos variables</w:t>
            </w:r>
          </w:p>
        </w:tc>
        <w:tc>
          <w:tcPr>
            <w:tcW w:type="dxa" w:w="10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57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57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76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14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88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76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14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9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r>
      <w:tr>
        <w:trPr>
          <w:cantSplit/>
        </w:trPr>
        <w:tc>
          <w:tcPr>
            <w:tcW w:type="dxa" w:w="108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Dependencia de una fuente</w:t>
            </w:r>
          </w:p>
        </w:tc>
        <w:tc>
          <w:tcPr>
            <w:tcW w:type="dxa" w:w="10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57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57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76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14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88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76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14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9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r>
      <w:tr>
        <w:trPr>
          <w:cantSplit/>
        </w:trPr>
        <w:tc>
          <w:tcPr>
            <w:tcW w:type="dxa" w:w="108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Información falsa o inconsistente</w:t>
            </w:r>
          </w:p>
        </w:tc>
        <w:tc>
          <w:tcPr>
            <w:tcW w:type="dxa" w:w="10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57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57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76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14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88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76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14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9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r>
      <w:tr>
        <w:trPr>
          <w:cantSplit/>
        </w:trPr>
        <w:tc>
          <w:tcPr>
            <w:tcW w:type="dxa" w:w="108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Fraude</w:t>
            </w:r>
          </w:p>
        </w:tc>
        <w:tc>
          <w:tcPr>
            <w:tcW w:type="dxa" w:w="10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57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57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76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14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88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76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14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9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r>
      <w:tr>
        <w:trPr>
          <w:cantSplit/>
        </w:trPr>
        <w:tc>
          <w:tcPr>
            <w:tcW w:type="dxa" w:w="108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Garantía</w:t>
            </w:r>
          </w:p>
        </w:tc>
        <w:tc>
          <w:tcPr>
            <w:tcW w:type="dxa" w:w="10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57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57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76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14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88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76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14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9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r>
      <w:tr>
        <w:trPr>
          <w:cantSplit/>
        </w:trPr>
        <w:tc>
          <w:tcPr>
            <w:tcW w:type="dxa" w:w="108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Jurídico y documental</w:t>
            </w:r>
          </w:p>
        </w:tc>
        <w:tc>
          <w:tcPr>
            <w:tcW w:type="dxa" w:w="10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57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57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76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14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88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76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14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9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r>
      <w:tr>
        <w:trPr>
          <w:cantSplit/>
        </w:trPr>
        <w:tc>
          <w:tcPr>
            <w:tcW w:type="dxa" w:w="108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Operacional</w:t>
            </w:r>
          </w:p>
        </w:tc>
        <w:tc>
          <w:tcPr>
            <w:tcW w:type="dxa" w:w="10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57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57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76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14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88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76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14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9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r>
      <w:tr>
        <w:trPr>
          <w:cantSplit/>
        </w:trPr>
        <w:tc>
          <w:tcPr>
            <w:tcW w:type="dxa" w:w="108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Económico externo</w:t>
            </w:r>
          </w:p>
        </w:tc>
        <w:tc>
          <w:tcPr>
            <w:tcW w:type="dxa" w:w="10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57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57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76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14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88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76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14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9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4"/>
                <w:szCs w:val="14"/>
              </w:rPr>
              <w:t xml:space="preserve"> </w:t>
            </w:r>
          </w:p>
        </w:tc>
      </w:tr>
      <w:tr>
        <w:trPr>
          <w:cantSplit/>
        </w:trPr>
        <w:tc>
          <w:tcPr>
            <w:tcW w:type="dxa" w:w="108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Concentración de exposición</w:t>
            </w:r>
          </w:p>
        </w:tc>
        <w:tc>
          <w:tcPr>
            <w:tcW w:type="dxa" w:w="10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57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57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76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14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88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76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14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9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c>
          <w:tcPr>
            <w:tcW w:type="dxa" w:w="10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4"/>
                <w:szCs w:val="14"/>
              </w:rPr>
              <w:t xml:space="preserve"> </w:t>
            </w:r>
          </w:p>
        </w:tc>
      </w:tr>
    </w:tbl>
    <w:p>
      <w:pPr>
        <w:spacing w:after="120"/>
      </w:pPr>
    </w:p>
    <w:p>
      <w:pPr>
        <w:keepNext w:val="false"/>
        <w:spacing w:after="120" w:before="0"/>
        <w:jc w:val="both"/>
      </w:pPr>
      <w:r>
        <w:rPr>
          <w:sz w:val="17"/>
          <w:szCs w:val="17"/>
        </w:rPr>
        <w:t xml:space="preserve">Instrucciones: Probabilidad × Impacto = riesgo inherente. Riesgo residual = inherente × factor de eficacia (Fuerte 0.4, Adecuado 0.6, Débil 0.8, Inexistente 1.0). Niveles: Bajo 1–4.9; Moderado 5–9.9; Alto 10–15.9; Crítico 16–25 (escala orientativa, Capítulo 9).</w:t>
      </w:r>
    </w:p>
    <w:p>
      <w:pPr>
        <w:sectPr>
          <w:headerReference w:type="default" r:id="rId15"/>
          <w:footerReference w:type="default" r:id="rId16"/>
          <w:type w:val="nextPage"/>
          <w:pgSz w:w="15840" w:h="12240" w:orient="landscape"/>
          <w:pgMar w:top="1080" w:right="1440" w:bottom="1000" w:left="1440" w:header="500" w:footer="500" w:gutter="0"/>
          <w:pgNumType/>
          <w:docGrid w:linePitch="360"/>
        </w:sectPr>
      </w:pPr>
    </w:p>
    <w:p>
      <w:pPr>
        <w:pStyle w:val="Heading1"/>
      </w:pPr>
      <w:r>
        <w:t xml:space="preserve">Anexo E. Formato de análisis de garantías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2"/>
        <w:gridCol w:w="2808"/>
        <w:gridCol w:w="2340"/>
      </w:tblGrid>
      <w:tr>
        <w:trPr>
          <w:cantSplit/>
          <w:tblHeader/>
        </w:trPr>
        <w:tc>
          <w:tcPr>
            <w:tcW w:type="dxa" w:w="421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Elemento</w:t>
            </w:r>
          </w:p>
        </w:tc>
        <w:tc>
          <w:tcPr>
            <w:tcW w:type="dxa" w:w="2808"/>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Dato / resultado</w:t>
            </w:r>
          </w:p>
        </w:tc>
        <w:tc>
          <w:tcPr>
            <w:tcW w:type="dxa" w:w="234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Fuente / fecha</w:t>
            </w:r>
          </w:p>
        </w:tc>
      </w:tr>
      <w:tr>
        <w:trPr>
          <w:cantSplit/>
        </w:trPr>
        <w:tc>
          <w:tcPr>
            <w:tcW w:type="dxa" w:w="421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Tipo de garantía</w:t>
            </w:r>
          </w:p>
        </w:tc>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23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421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Descripción e identificación del bien o garante</w:t>
            </w:r>
          </w:p>
        </w:tc>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23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421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Titular(es) registral(es)</w:t>
            </w:r>
          </w:p>
        </w:tc>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23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421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Gravámenes y limitaciones</w:t>
            </w:r>
          </w:p>
        </w:tc>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23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421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Valor comercial (avalúo)</w:t>
            </w:r>
          </w:p>
        </w:tc>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23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421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Valor de realización</w:t>
            </w:r>
          </w:p>
        </w:tc>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23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421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Costos estimados de ejecución</w:t>
            </w:r>
          </w:p>
        </w:tc>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23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421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Monto recuperable (realización − gravámenes preferentes − costos)</w:t>
            </w:r>
          </w:p>
        </w:tc>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23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421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Exposición crediticia</w:t>
            </w:r>
          </w:p>
        </w:tc>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23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421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Cobertura (recuperable ÷ exposición)</w:t>
            </w:r>
          </w:p>
        </w:tc>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23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421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LTV (préstamo ÷ valor comercial × 100)</w:t>
            </w:r>
          </w:p>
        </w:tc>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23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421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Liquidez del bien (alta / media / baja) y justificación</w:t>
            </w:r>
          </w:p>
        </w:tc>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23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421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Tiempo estimado de recuperación</w:t>
            </w:r>
          </w:p>
        </w:tc>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23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421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Seguros (aseguradora, vigencia, endoso)</w:t>
            </w:r>
          </w:p>
        </w:tc>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23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421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Opinión legal</w:t>
            </w:r>
          </w:p>
        </w:tc>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23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421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Fiador: capacidad residual y historial</w:t>
            </w:r>
          </w:p>
        </w:tc>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23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bl>
    <w:p>
      <w:pPr>
        <w:spacing w:after="120"/>
      </w:pPr>
    </w:p>
    <w:p>
      <w:pPr>
        <w:pStyle w:val="Heading1"/>
        <w:pageBreakBefore/>
      </w:pPr>
      <w:r>
        <w:t xml:space="preserve">Anexo F. Lista de señales de alerta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1123"/>
        <w:gridCol w:w="3557"/>
      </w:tblGrid>
      <w:tr>
        <w:trPr>
          <w:cantSplit/>
          <w:tblHeader/>
        </w:trPr>
        <w:tc>
          <w:tcPr>
            <w:tcW w:type="dxa" w:w="468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Señal de alerta</w:t>
            </w:r>
          </w:p>
        </w:tc>
        <w:tc>
          <w:tcPr>
            <w:tcW w:type="dxa" w:w="1123"/>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Presente</w:t>
            </w:r>
          </w:p>
        </w:tc>
        <w:tc>
          <w:tcPr>
            <w:tcW w:type="dxa" w:w="3557"/>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Resolución / evidencia</w:t>
            </w:r>
          </w:p>
        </w:tc>
      </w:tr>
      <w:tr>
        <w:trPr>
          <w:cantSplit/>
        </w:trPr>
        <w:tc>
          <w:tcPr>
            <w:tcW w:type="dxa" w:w="468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Documentos con formato atípico, alteraciones o sin datos verificables</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w:t>
            </w:r>
          </w:p>
        </w:tc>
        <w:tc>
          <w:tcPr>
            <w:tcW w:type="dxa" w:w="355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468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Ingreso declarado mayor que el verificado</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w:t>
            </w:r>
          </w:p>
        </w:tc>
        <w:tc>
          <w:tcPr>
            <w:tcW w:type="dxa" w:w="355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468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Depósitos extraordinarios antes de la solicitud</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w:t>
            </w:r>
          </w:p>
        </w:tc>
        <w:tc>
          <w:tcPr>
            <w:tcW w:type="dxa" w:w="355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468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Deudas no declaradas en el historial</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w:t>
            </w:r>
          </w:p>
        </w:tc>
        <w:tc>
          <w:tcPr>
            <w:tcW w:type="dxa" w:w="355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468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Mora vigente o atrasos recurrentes</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w:t>
            </w:r>
          </w:p>
        </w:tc>
        <w:tc>
          <w:tcPr>
            <w:tcW w:type="dxa" w:w="355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468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Varias consultas recientes de otras entidades</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w:t>
            </w:r>
          </w:p>
        </w:tc>
        <w:tc>
          <w:tcPr>
            <w:tcW w:type="dxa" w:w="355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468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Uso de tarjetas cercano al límite</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w:t>
            </w:r>
          </w:p>
        </w:tc>
        <w:tc>
          <w:tcPr>
            <w:tcW w:type="dxa" w:w="355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468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Reestructuraciones o refinanciamientos sucesivos</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w:t>
            </w:r>
          </w:p>
        </w:tc>
        <w:tc>
          <w:tcPr>
            <w:tcW w:type="dxa" w:w="355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468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Datos de contacto compartidos con otros solicitantes</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w:t>
            </w:r>
          </w:p>
        </w:tc>
        <w:tc>
          <w:tcPr>
            <w:tcW w:type="dxa" w:w="355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468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Negativa a visita o a autorizar consultas</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w:t>
            </w:r>
          </w:p>
        </w:tc>
        <w:tc>
          <w:tcPr>
            <w:tcW w:type="dxa" w:w="355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468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Destino ambiguo o beneficiario distinto del deudor</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w:t>
            </w:r>
          </w:p>
        </w:tc>
        <w:tc>
          <w:tcPr>
            <w:tcW w:type="dxa" w:w="355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468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Garantía con gravámenes, litigios u ocupantes</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w:t>
            </w:r>
          </w:p>
        </w:tc>
        <w:tc>
          <w:tcPr>
            <w:tcW w:type="dxa" w:w="355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468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Avalúo desactualizado o preparado por el cliente</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w:t>
            </w:r>
          </w:p>
        </w:tc>
        <w:tc>
          <w:tcPr>
            <w:tcW w:type="dxa" w:w="355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468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Dependencia de una sola fuente o cliente</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w:t>
            </w:r>
          </w:p>
        </w:tc>
        <w:tc>
          <w:tcPr>
            <w:tcW w:type="dxa" w:w="355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468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Alertas de cumplimiento (listas, origen de fondos)</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w:t>
            </w:r>
          </w:p>
        </w:tc>
        <w:tc>
          <w:tcPr>
            <w:tcW w:type="dxa" w:w="355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468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Capacidad residual negativa o casi nula</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w:t>
            </w:r>
          </w:p>
        </w:tc>
        <w:tc>
          <w:tcPr>
            <w:tcW w:type="dxa" w:w="355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bl>
    <w:p>
      <w:pPr>
        <w:spacing w:after="120"/>
      </w:pPr>
    </w:p>
    <w:p>
      <w:pPr>
        <w:pStyle w:val="Heading1"/>
        <w:pageBreakBefore/>
      </w:pPr>
      <w:r>
        <w:t xml:space="preserve">Anexo G. Informe de evaluación crediticia (formato)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5616"/>
      </w:tblGrid>
      <w:tr>
        <w:trPr>
          <w:cantSplit/>
          <w:tblHeader/>
        </w:trPr>
        <w:tc>
          <w:tcPr>
            <w:tcW w:type="dxa" w:w="3744"/>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Sección</w:t>
            </w:r>
          </w:p>
        </w:tc>
        <w:tc>
          <w:tcPr>
            <w:tcW w:type="dxa" w:w="561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Contenido</w:t>
            </w:r>
          </w:p>
        </w:tc>
      </w:tr>
      <w:tr>
        <w:trPr>
          <w:cantSplit/>
        </w:trPr>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1. Datos de identificación</w:t>
            </w:r>
          </w:p>
        </w:tc>
        <w:tc>
          <w:tcPr>
            <w:tcW w:type="dxa" w:w="56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2. Producto, monto, destino, plazo, tasa y cuota</w:t>
            </w:r>
          </w:p>
        </w:tc>
        <w:tc>
          <w:tcPr>
            <w:tcW w:type="dxa" w:w="56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3. Información recibida y verificada</w:t>
            </w:r>
          </w:p>
        </w:tc>
        <w:tc>
          <w:tcPr>
            <w:tcW w:type="dxa" w:w="56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4. Ingresos y gastos</w:t>
            </w:r>
          </w:p>
        </w:tc>
        <w:tc>
          <w:tcPr>
            <w:tcW w:type="dxa" w:w="56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5. Endeudamiento</w:t>
            </w:r>
          </w:p>
        </w:tc>
        <w:tc>
          <w:tcPr>
            <w:tcW w:type="dxa" w:w="56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6. Capacidad de pago (incluye escenario adverso)</w:t>
            </w:r>
          </w:p>
        </w:tc>
        <w:tc>
          <w:tcPr>
            <w:tcW w:type="dxa" w:w="56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7. Historial crediticio</w:t>
            </w:r>
          </w:p>
        </w:tc>
        <w:tc>
          <w:tcPr>
            <w:tcW w:type="dxa" w:w="56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8. Garantías</w:t>
            </w:r>
          </w:p>
        </w:tc>
        <w:tc>
          <w:tcPr>
            <w:tcW w:type="dxa" w:w="56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9. Riesgos (resumen de matriz)</w:t>
            </w:r>
          </w:p>
        </w:tc>
        <w:tc>
          <w:tcPr>
            <w:tcW w:type="dxa" w:w="56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10. Controles y condiciones</w:t>
            </w:r>
          </w:p>
        </w:tc>
        <w:tc>
          <w:tcPr>
            <w:tcW w:type="dxa" w:w="56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11. Limitaciones del análisis</w:t>
            </w:r>
          </w:p>
        </w:tc>
        <w:tc>
          <w:tcPr>
            <w:tcW w:type="dxa" w:w="56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12. Conclusión</w:t>
            </w:r>
          </w:p>
        </w:tc>
        <w:tc>
          <w:tcPr>
            <w:tcW w:type="dxa" w:w="56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13. Recomendación (☐ Favorable ☐ Favorable con condiciones ☐ Información adicional ☐ Análisis especializado ☐ Desfavorable) y justificación</w:t>
            </w:r>
          </w:p>
        </w:tc>
        <w:tc>
          <w:tcPr>
            <w:tcW w:type="dxa" w:w="56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14. Responsable, firma y fecha</w:t>
            </w:r>
          </w:p>
        </w:tc>
        <w:tc>
          <w:tcPr>
            <w:tcW w:type="dxa" w:w="56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15. Referencias documentales</w:t>
            </w:r>
          </w:p>
        </w:tc>
        <w:tc>
          <w:tcPr>
            <w:tcW w:type="dxa" w:w="56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bl>
    <w:p>
      <w:pPr>
        <w:spacing w:after="120"/>
      </w:pPr>
    </w:p>
    <w:p>
      <w:pPr>
        <w:pStyle w:val="Heading1"/>
        <w:pageBreakBefore/>
      </w:pPr>
      <w:r>
        <w:t xml:space="preserve">Anexo H. Lista de verificación previa a la aprobación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1684"/>
        <w:gridCol w:w="2059"/>
        <w:gridCol w:w="1686"/>
      </w:tblGrid>
      <w:tr>
        <w:trPr>
          <w:cantSplit/>
          <w:tblHeader/>
        </w:trPr>
        <w:tc>
          <w:tcPr>
            <w:tcW w:type="dxa" w:w="3931"/>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Verificación</w:t>
            </w:r>
          </w:p>
        </w:tc>
        <w:tc>
          <w:tcPr>
            <w:tcW w:type="dxa" w:w="1684"/>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Cumple</w:t>
            </w:r>
          </w:p>
        </w:tc>
        <w:tc>
          <w:tcPr>
            <w:tcW w:type="dxa" w:w="205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Observación</w:t>
            </w:r>
          </w:p>
        </w:tc>
        <w:tc>
          <w:tcPr>
            <w:tcW w:type="dxa" w:w="168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Responsable</w:t>
            </w:r>
          </w:p>
        </w:tc>
      </w:tr>
      <w:tr>
        <w:trPr>
          <w:cantSplit/>
        </w:trPr>
        <w:tc>
          <w:tcPr>
            <w:tcW w:type="dxa" w:w="393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Informe completo y firmado</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Sí  ☐ No  ☐ N/A</w:t>
            </w:r>
          </w:p>
        </w:tc>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93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Documentación necesaria completa (Anexo A)</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Sí  ☐ No  ☐ N/A</w:t>
            </w:r>
          </w:p>
        </w:tc>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93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Alertas resueltas (Anexo F)</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Sí  ☐ No  ☐ N/A</w:t>
            </w:r>
          </w:p>
        </w:tc>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93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Capacidad residual positiva en escenario base</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Sí  ☐ No  ☐ N/A</w:t>
            </w:r>
          </w:p>
        </w:tc>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93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Escenario adverso realizado</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Sí  ☐ No  ☐ N/A</w:t>
            </w:r>
          </w:p>
        </w:tc>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93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Riesgos altos/críticos con mitigación (Anexo D)</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Sí  ☐ No  ☐ N/A</w:t>
            </w:r>
          </w:p>
        </w:tc>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93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Debida diligencia de cumplimiento concluida</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Sí  ☐ No  ☐ N/A</w:t>
            </w:r>
          </w:p>
        </w:tc>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93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Operación dentro de las facultades de la instancia</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Sí  ☐ No  ☐ N/A</w:t>
            </w:r>
          </w:p>
        </w:tc>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93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Tasa dentro de la tasa máxima legal vigente</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Sí  ☐ No  ☐ N/A</w:t>
            </w:r>
          </w:p>
        </w:tc>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93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Excepciones a política identificadas y justificadas</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Sí  ☐ No  ☐ N/A</w:t>
            </w:r>
          </w:p>
        </w:tc>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93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Condiciones propuestas claras y verificables</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Sí  ☐ No  ☐ N/A</w:t>
            </w:r>
          </w:p>
        </w:tc>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93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Partes relacionadas identificadas (si aplica)</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Sí  ☐ No  ☐ N/A</w:t>
            </w:r>
          </w:p>
        </w:tc>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bl>
    <w:p>
      <w:pPr>
        <w:spacing w:after="120"/>
      </w:pPr>
    </w:p>
    <w:p>
      <w:pPr>
        <w:pStyle w:val="Heading1"/>
        <w:pageBreakBefore/>
      </w:pPr>
      <w:r>
        <w:t xml:space="preserve">Anexo I. Lista de verificación previa al desembolso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1684"/>
        <w:gridCol w:w="2059"/>
        <w:gridCol w:w="1686"/>
      </w:tblGrid>
      <w:tr>
        <w:trPr>
          <w:cantSplit/>
          <w:tblHeader/>
        </w:trPr>
        <w:tc>
          <w:tcPr>
            <w:tcW w:type="dxa" w:w="3931"/>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Verificación</w:t>
            </w:r>
          </w:p>
        </w:tc>
        <w:tc>
          <w:tcPr>
            <w:tcW w:type="dxa" w:w="1684"/>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Cumple</w:t>
            </w:r>
          </w:p>
        </w:tc>
        <w:tc>
          <w:tcPr>
            <w:tcW w:type="dxa" w:w="205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Evidencia</w:t>
            </w:r>
          </w:p>
        </w:tc>
        <w:tc>
          <w:tcPr>
            <w:tcW w:type="dxa" w:w="168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Responsable</w:t>
            </w:r>
          </w:p>
        </w:tc>
      </w:tr>
      <w:tr>
        <w:trPr>
          <w:cantSplit/>
        </w:trPr>
        <w:tc>
          <w:tcPr>
            <w:tcW w:type="dxa" w:w="393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Resolución de aprobación vigente</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Sí  ☐ No  ☐ N/A</w:t>
            </w:r>
          </w:p>
        </w:tc>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93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Contrato con condiciones idénticas a las aprobadas</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Sí  ☐ No  ☐ N/A</w:t>
            </w:r>
          </w:p>
        </w:tc>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93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Información de costos entregada al cliente</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Sí  ☐ No  ☐ N/A</w:t>
            </w:r>
          </w:p>
        </w:tc>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93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Firmas de deudor, codeudores y fiadores</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Sí  ☐ No  ☐ N/A</w:t>
            </w:r>
          </w:p>
        </w:tc>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93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Garantía constituida y presentada / inscrita según política</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Sí  ☐ No  ☐ N/A</w:t>
            </w:r>
          </w:p>
        </w:tc>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93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Seguros contratados y endosados</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Sí  ☐ No  ☐ N/A</w:t>
            </w:r>
          </w:p>
        </w:tc>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93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Condiciones previas cumplidas</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Sí  ☐ No  ☐ N/A</w:t>
            </w:r>
          </w:p>
        </w:tc>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93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Cuenta de destino validada / pago directo a proveedor o acreedor</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Sí  ☐ No  ☐ N/A</w:t>
            </w:r>
          </w:p>
        </w:tc>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93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Actualización de consulta si el lapso supera la política</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Sí  ☐ No  ☐ N/A</w:t>
            </w:r>
          </w:p>
        </w:tc>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93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Registro en sistema con doble control</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Sí  ☐ No  ☐ N/A</w:t>
            </w:r>
          </w:p>
        </w:tc>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bl>
    <w:p>
      <w:pPr>
        <w:spacing w:after="120"/>
      </w:pPr>
    </w:p>
    <w:p>
      <w:pPr>
        <w:pStyle w:val="Heading1"/>
        <w:pageBreakBefore/>
      </w:pPr>
      <w:r>
        <w:t xml:space="preserve">Anexo J. Formato de seguimiento del crédito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1029"/>
        <w:gridCol w:w="1123"/>
        <w:gridCol w:w="1684"/>
        <w:gridCol w:w="1872"/>
        <w:gridCol w:w="1216"/>
        <w:gridCol w:w="1313"/>
      </w:tblGrid>
      <w:tr>
        <w:trPr>
          <w:cantSplit/>
          <w:tblHeader/>
        </w:trPr>
        <w:tc>
          <w:tcPr>
            <w:tcW w:type="dxa" w:w="1123"/>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Fecha</w:t>
            </w:r>
          </w:p>
        </w:tc>
        <w:tc>
          <w:tcPr>
            <w:tcW w:type="dxa" w:w="102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Días de atraso</w:t>
            </w:r>
          </w:p>
        </w:tc>
        <w:tc>
          <w:tcPr>
            <w:tcW w:type="dxa" w:w="1123"/>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Saldo US$</w:t>
            </w:r>
          </w:p>
        </w:tc>
        <w:tc>
          <w:tcPr>
            <w:tcW w:type="dxa" w:w="1684"/>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Alerta detectada</w:t>
            </w:r>
          </w:p>
        </w:tc>
        <w:tc>
          <w:tcPr>
            <w:tcW w:type="dxa" w:w="187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Acción realizada</w:t>
            </w:r>
          </w:p>
        </w:tc>
        <w:tc>
          <w:tcPr>
            <w:tcW w:type="dxa" w:w="121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Responsable</w:t>
            </w:r>
          </w:p>
        </w:tc>
        <w:tc>
          <w:tcPr>
            <w:tcW w:type="dxa" w:w="1313"/>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Próxima revisión</w:t>
            </w:r>
          </w:p>
        </w:tc>
      </w:tr>
      <w:tr>
        <w:trPr>
          <w:cantSplit/>
        </w:trPr>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02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2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31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02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2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31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02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2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31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02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2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31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02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2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31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02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2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31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02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2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31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02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2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31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02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2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31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02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2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31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5616"/>
      </w:tblGrid>
      <w:tr>
        <w:trPr>
          <w:cantSplit/>
        </w:trPr>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7"/>
                <w:szCs w:val="17"/>
              </w:rPr>
              <w:t xml:space="preserve">Condiciones posteriores pendientes</w:t>
            </w:r>
          </w:p>
        </w:tc>
        <w:tc>
          <w:tcPr>
            <w:tcW w:type="dxa" w:w="56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7"/>
                <w:szCs w:val="17"/>
              </w:rPr>
              <w:t xml:space="preserve">Estado de la garantía y seguros</w:t>
            </w:r>
          </w:p>
        </w:tc>
        <w:tc>
          <w:tcPr>
            <w:tcW w:type="dxa" w:w="56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7"/>
                <w:szCs w:val="17"/>
              </w:rPr>
              <w:t xml:space="preserve">Cambios en el historial crediticio</w:t>
            </w:r>
          </w:p>
        </w:tc>
        <w:tc>
          <w:tcPr>
            <w:tcW w:type="dxa" w:w="56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b/>
                <w:bCs/>
                <w:sz w:val="17"/>
                <w:szCs w:val="17"/>
              </w:rPr>
              <w:t xml:space="preserve">Revisión financiera (fecha y resultado)</w:t>
            </w:r>
          </w:p>
        </w:tc>
        <w:tc>
          <w:tcPr>
            <w:tcW w:type="dxa" w:w="56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b w:val="false"/>
                <w:bCs w:val="false"/>
                <w:sz w:val="17"/>
                <w:szCs w:val="17"/>
              </w:rPr>
              <w:t xml:space="preserve"> </w:t>
            </w:r>
          </w:p>
        </w:tc>
      </w:tr>
    </w:tbl>
    <w:p>
      <w:pPr>
        <w:spacing w:after="120"/>
      </w:pPr>
    </w:p>
    <w:p>
      <w:pPr>
        <w:pStyle w:val="Heading1"/>
        <w:pageBreakBefore/>
      </w:pPr>
      <w:r>
        <w:t xml:space="preserve">Anexo K. Matriz de documentación y trazabilidad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4"/>
        <w:gridCol w:w="1591"/>
        <w:gridCol w:w="1216"/>
        <w:gridCol w:w="1029"/>
        <w:gridCol w:w="1310"/>
        <w:gridCol w:w="1404"/>
        <w:gridCol w:w="1126"/>
      </w:tblGrid>
      <w:tr>
        <w:trPr>
          <w:cantSplit/>
          <w:tblHeader/>
        </w:trPr>
        <w:tc>
          <w:tcPr>
            <w:tcW w:type="dxa" w:w="1684"/>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Dato o decisión</w:t>
            </w:r>
          </w:p>
        </w:tc>
        <w:tc>
          <w:tcPr>
            <w:tcW w:type="dxa" w:w="1591"/>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Documento de respaldo</w:t>
            </w:r>
          </w:p>
        </w:tc>
        <w:tc>
          <w:tcPr>
            <w:tcW w:type="dxa" w:w="121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Fuente</w:t>
            </w:r>
          </w:p>
        </w:tc>
        <w:tc>
          <w:tcPr>
            <w:tcW w:type="dxa" w:w="102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Fecha</w:t>
            </w:r>
          </w:p>
        </w:tc>
        <w:tc>
          <w:tcPr>
            <w:tcW w:type="dxa" w:w="131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Verificado por</w:t>
            </w:r>
          </w:p>
        </w:tc>
        <w:tc>
          <w:tcPr>
            <w:tcW w:type="dxa" w:w="1404"/>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Ubicación en expediente</w:t>
            </w:r>
          </w:p>
        </w:tc>
        <w:tc>
          <w:tcPr>
            <w:tcW w:type="dxa" w:w="112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Versión</w:t>
            </w:r>
          </w:p>
        </w:tc>
      </w:tr>
      <w:tr>
        <w:trPr>
          <w:cantSplit/>
        </w:trPr>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Ingreso neto</w:t>
            </w:r>
          </w:p>
        </w:tc>
        <w:tc>
          <w:tcPr>
            <w:tcW w:type="dxa" w:w="159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2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02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31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40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r>
      <w:tr>
        <w:trPr>
          <w:cantSplit/>
        </w:trPr>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Gastos considerados</w:t>
            </w:r>
          </w:p>
        </w:tc>
        <w:tc>
          <w:tcPr>
            <w:tcW w:type="dxa" w:w="159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2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02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31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40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r>
      <w:tr>
        <w:trPr>
          <w:cantSplit/>
        </w:trPr>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Deudas vigentes</w:t>
            </w:r>
          </w:p>
        </w:tc>
        <w:tc>
          <w:tcPr>
            <w:tcW w:type="dxa" w:w="159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2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02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31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40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r>
      <w:tr>
        <w:trPr>
          <w:cantSplit/>
        </w:trPr>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Cálculo de capacidad</w:t>
            </w:r>
          </w:p>
        </w:tc>
        <w:tc>
          <w:tcPr>
            <w:tcW w:type="dxa" w:w="159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2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02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31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40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r>
      <w:tr>
        <w:trPr>
          <w:cantSplit/>
        </w:trPr>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Valor de la garantía</w:t>
            </w:r>
          </w:p>
        </w:tc>
        <w:tc>
          <w:tcPr>
            <w:tcW w:type="dxa" w:w="159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2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02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31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40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r>
      <w:tr>
        <w:trPr>
          <w:cantSplit/>
        </w:trPr>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Matriz de riesgos</w:t>
            </w:r>
          </w:p>
        </w:tc>
        <w:tc>
          <w:tcPr>
            <w:tcW w:type="dxa" w:w="159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2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02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31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40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r>
      <w:tr>
        <w:trPr>
          <w:cantSplit/>
        </w:trPr>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Recomendación</w:t>
            </w:r>
          </w:p>
        </w:tc>
        <w:tc>
          <w:tcPr>
            <w:tcW w:type="dxa" w:w="159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2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02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31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40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r>
      <w:tr>
        <w:trPr>
          <w:cantSplit/>
        </w:trPr>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Decisión de aprobación</w:t>
            </w:r>
          </w:p>
        </w:tc>
        <w:tc>
          <w:tcPr>
            <w:tcW w:type="dxa" w:w="159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2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02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31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40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r>
      <w:tr>
        <w:trPr>
          <w:cantSplit/>
        </w:trPr>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Excepciones</w:t>
            </w:r>
          </w:p>
        </w:tc>
        <w:tc>
          <w:tcPr>
            <w:tcW w:type="dxa" w:w="159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2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02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31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40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r>
      <w:tr>
        <w:trPr>
          <w:cantSplit/>
        </w:trPr>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Cumplimiento de condiciones</w:t>
            </w:r>
          </w:p>
        </w:tc>
        <w:tc>
          <w:tcPr>
            <w:tcW w:type="dxa" w:w="159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2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02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31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40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r>
      <w:tr>
        <w:trPr>
          <w:cantSplit/>
        </w:trPr>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Modificaciones (bitácora)</w:t>
            </w:r>
          </w:p>
        </w:tc>
        <w:tc>
          <w:tcPr>
            <w:tcW w:type="dxa" w:w="159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2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02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31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40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r>
    </w:tbl>
    <w:p>
      <w:pPr>
        <w:spacing w:after="120"/>
      </w:pPr>
    </w:p>
    <w:p>
      <w:pPr>
        <w:pStyle w:val="Heading1"/>
        <w:pageBreakBefore/>
      </w:pPr>
      <w:r>
        <w:t xml:space="preserve">Anexo L. Glosario de términos financieros, jurídicos y de riesgo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0"/>
        <w:gridCol w:w="6740"/>
      </w:tblGrid>
      <w:tr>
        <w:trPr>
          <w:cantSplit/>
          <w:tblHeader/>
        </w:trPr>
        <w:tc>
          <w:tcPr>
            <w:tcW w:type="dxa" w:w="262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Término</w:t>
            </w:r>
          </w:p>
        </w:tc>
        <w:tc>
          <w:tcPr>
            <w:tcW w:type="dxa" w:w="674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Definición</w:t>
            </w:r>
          </w:p>
        </w:tc>
      </w:tr>
      <w:tr>
        <w:trPr>
          <w:cantSplit/>
        </w:trPr>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Agencia de información de datos</w:t>
            </w:r>
          </w:p>
        </w:tc>
        <w:tc>
          <w:tcPr>
            <w:tcW w:type="dxa" w:w="67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Persona jurídica autorizada para recopilar y proporcionar información sobre el historial de crédito de las personas, conforme a la ley que regula estos servicios.</w:t>
            </w:r>
          </w:p>
        </w:tc>
      </w:tr>
      <w:tr>
        <w:trPr>
          <w:cantSplit/>
        </w:trPr>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Análisis de sensibilidad</w:t>
            </w:r>
          </w:p>
        </w:tc>
        <w:tc>
          <w:tcPr>
            <w:tcW w:type="dxa" w:w="67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Repetición del cálculo de capacidad con supuestos adversos para medir la fragilidad de la operación.</w:t>
            </w:r>
          </w:p>
        </w:tc>
      </w:tr>
      <w:tr>
        <w:trPr>
          <w:cantSplit/>
        </w:trPr>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Avalúo</w:t>
            </w:r>
          </w:p>
        </w:tc>
        <w:tc>
          <w:tcPr>
            <w:tcW w:type="dxa" w:w="67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Estimación profesional del valor de un bien.</w:t>
            </w:r>
          </w:p>
        </w:tc>
      </w:tr>
      <w:tr>
        <w:trPr>
          <w:cantSplit/>
        </w:trPr>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Beneficiario final</w:t>
            </w:r>
          </w:p>
        </w:tc>
        <w:tc>
          <w:tcPr>
            <w:tcW w:type="dxa" w:w="67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Persona natural que en última instancia posee o controla a un cliente o en cuyo nombre se realiza una operación.</w:t>
            </w:r>
          </w:p>
        </w:tc>
      </w:tr>
      <w:tr>
        <w:trPr>
          <w:cantSplit/>
        </w:trPr>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Capacidad de pago</w:t>
            </w:r>
          </w:p>
        </w:tc>
        <w:tc>
          <w:tcPr>
            <w:tcW w:type="dxa" w:w="67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Recursos recurrentes disponibles para pagar la deuda tras cubrir gastos esenciales y otras obligaciones.</w:t>
            </w:r>
          </w:p>
        </w:tc>
      </w:tr>
      <w:tr>
        <w:trPr>
          <w:cantSplit/>
        </w:trPr>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Capacidad residual</w:t>
            </w:r>
          </w:p>
        </w:tc>
        <w:tc>
          <w:tcPr>
            <w:tcW w:type="dxa" w:w="67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Monto que queda después de gastos, deudas actuales y nueva cuota.</w:t>
            </w:r>
          </w:p>
        </w:tc>
      </w:tr>
      <w:tr>
        <w:trPr>
          <w:cantSplit/>
        </w:trPr>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Castigo (saneamiento)</w:t>
            </w:r>
          </w:p>
        </w:tc>
        <w:tc>
          <w:tcPr>
            <w:tcW w:type="dxa" w:w="67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Registro contable de un crédito como pérdida, sin extinguir necesariamente la obligación del deudor.</w:t>
            </w:r>
          </w:p>
        </w:tc>
      </w:tr>
      <w:tr>
        <w:trPr>
          <w:cantSplit/>
        </w:trPr>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Codeudor</w:t>
            </w:r>
          </w:p>
        </w:tc>
        <w:tc>
          <w:tcPr>
            <w:tcW w:type="dxa" w:w="67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Persona que se obliga junto con el deudor principal al pago de la deuda.</w:t>
            </w:r>
          </w:p>
        </w:tc>
      </w:tr>
      <w:tr>
        <w:trPr>
          <w:cantSplit/>
        </w:trPr>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Coeficiente de variación</w:t>
            </w:r>
          </w:p>
        </w:tc>
        <w:tc>
          <w:tcPr>
            <w:tcW w:type="dxa" w:w="67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Desviación estándar dividida entre el promedio; mide la variabilidad relativa de un ingreso.</w:t>
            </w:r>
          </w:p>
        </w:tc>
      </w:tr>
      <w:tr>
        <w:trPr>
          <w:cantSplit/>
        </w:trPr>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Cobertura de la garantía</w:t>
            </w:r>
          </w:p>
        </w:tc>
        <w:tc>
          <w:tcPr>
            <w:tcW w:type="dxa" w:w="67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Monto recuperable de la garantía dividido entre la exposición.</w:t>
            </w:r>
          </w:p>
        </w:tc>
      </w:tr>
      <w:tr>
        <w:trPr>
          <w:cantSplit/>
        </w:trPr>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Cobertura del servicio de la deuda</w:t>
            </w:r>
          </w:p>
        </w:tc>
        <w:tc>
          <w:tcPr>
            <w:tcW w:type="dxa" w:w="67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Flujo disponible dividido entre el servicio total de la deuda.</w:t>
            </w:r>
          </w:p>
        </w:tc>
      </w:tr>
      <w:tr>
        <w:trPr>
          <w:cantSplit/>
        </w:trPr>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Cosecha (vintage)</w:t>
            </w:r>
          </w:p>
        </w:tc>
        <w:tc>
          <w:tcPr>
            <w:tcW w:type="dxa" w:w="67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Grupo de créditos desembolsados en un mismo período, cuyo comportamiento se sigue en el tiempo.</w:t>
            </w:r>
          </w:p>
        </w:tc>
      </w:tr>
      <w:tr>
        <w:trPr>
          <w:cantSplit/>
        </w:trPr>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Debida diligencia</w:t>
            </w:r>
          </w:p>
        </w:tc>
        <w:tc>
          <w:tcPr>
            <w:tcW w:type="dxa" w:w="67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Conjunto de medidas para identificar y conocer al cliente y evaluar su riesgo, incluido el de lavado de activos.</w:t>
            </w:r>
          </w:p>
        </w:tc>
      </w:tr>
      <w:tr>
        <w:trPr>
          <w:cantSplit/>
        </w:trPr>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Desembolso</w:t>
            </w:r>
          </w:p>
        </w:tc>
        <w:tc>
          <w:tcPr>
            <w:tcW w:type="dxa" w:w="67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Entrega de los fondos del crédito.</w:t>
            </w:r>
          </w:p>
        </w:tc>
      </w:tr>
      <w:tr>
        <w:trPr>
          <w:cantSplit/>
        </w:trPr>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Exposición crediticia</w:t>
            </w:r>
          </w:p>
        </w:tc>
        <w:tc>
          <w:tcPr>
            <w:tcW w:type="dxa" w:w="67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Monto que la institución podría perder si el deudor incumple (saldo, intereses y otros conceptos).</w:t>
            </w:r>
          </w:p>
        </w:tc>
      </w:tr>
      <w:tr>
        <w:trPr>
          <w:cantSplit/>
        </w:trPr>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Fianza</w:t>
            </w:r>
          </w:p>
        </w:tc>
        <w:tc>
          <w:tcPr>
            <w:tcW w:type="dxa" w:w="67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Garantía personal en la que un tercero se obliga a pagar si el deudor no lo hace.</w:t>
            </w:r>
          </w:p>
        </w:tc>
      </w:tr>
      <w:tr>
        <w:trPr>
          <w:cantSplit/>
        </w:trPr>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Formalización</w:t>
            </w:r>
          </w:p>
        </w:tc>
        <w:tc>
          <w:tcPr>
            <w:tcW w:type="dxa" w:w="67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Instrumentación jurídica del crédito y sus garantías.</w:t>
            </w:r>
          </w:p>
        </w:tc>
      </w:tr>
      <w:tr>
        <w:trPr>
          <w:cantSplit/>
        </w:trPr>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Garantía mobiliaria</w:t>
            </w:r>
          </w:p>
        </w:tc>
        <w:tc>
          <w:tcPr>
            <w:tcW w:type="dxa" w:w="67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Garantía sobre bienes muebles, regulada por la Ley de Garantías Mobiliarias.</w:t>
            </w:r>
          </w:p>
        </w:tc>
      </w:tr>
      <w:tr>
        <w:trPr>
          <w:cantSplit/>
        </w:trPr>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Gravamen</w:t>
            </w:r>
          </w:p>
        </w:tc>
        <w:tc>
          <w:tcPr>
            <w:tcW w:type="dxa" w:w="67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Carga o derecho de un tercero que pesa sobre un bien (por ejemplo, hipoteca previa o embargo).</w:t>
            </w:r>
          </w:p>
        </w:tc>
      </w:tr>
      <w:tr>
        <w:trPr>
          <w:cantSplit/>
        </w:trPr>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Hipoteca</w:t>
            </w:r>
          </w:p>
        </w:tc>
        <w:tc>
          <w:tcPr>
            <w:tcW w:type="dxa" w:w="67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Derecho real de garantía sobre un inmueble.</w:t>
            </w:r>
          </w:p>
        </w:tc>
      </w:tr>
      <w:tr>
        <w:trPr>
          <w:cantSplit/>
        </w:trPr>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Ingreso bruto / neto</w:t>
            </w:r>
          </w:p>
        </w:tc>
        <w:tc>
          <w:tcPr>
            <w:tcW w:type="dxa" w:w="67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Ingreso antes / después de descuentos de ley y retenciones.</w:t>
            </w:r>
          </w:p>
        </w:tc>
      </w:tr>
      <w:tr>
        <w:trPr>
          <w:cantSplit/>
        </w:trPr>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LTV (relación préstamo-valor)</w:t>
            </w:r>
          </w:p>
        </w:tc>
        <w:tc>
          <w:tcPr>
            <w:tcW w:type="dxa" w:w="67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Monto del préstamo dividido entre el valor comercial de la garantía.</w:t>
            </w:r>
          </w:p>
        </w:tc>
      </w:tr>
      <w:tr>
        <w:trPr>
          <w:cantSplit/>
        </w:trPr>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Mora</w:t>
            </w:r>
          </w:p>
        </w:tc>
        <w:tc>
          <w:tcPr>
            <w:tcW w:type="dxa" w:w="67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Atraso en el pago de una obligación en la fecha pactada.</w:t>
            </w:r>
          </w:p>
        </w:tc>
      </w:tr>
      <w:tr>
        <w:trPr>
          <w:cantSplit/>
        </w:trPr>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Pérdida esperada</w:t>
            </w:r>
          </w:p>
        </w:tc>
        <w:tc>
          <w:tcPr>
            <w:tcW w:type="dxa" w:w="67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Estimación de la pérdida promedio, que combina probabilidad de incumplimiento, exposición y severidad de la pérdida.</w:t>
            </w:r>
          </w:p>
        </w:tc>
      </w:tr>
      <w:tr>
        <w:trPr>
          <w:cantSplit/>
        </w:trPr>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Prelación</w:t>
            </w:r>
          </w:p>
        </w:tc>
        <w:tc>
          <w:tcPr>
            <w:tcW w:type="dxa" w:w="67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Orden de preferencia entre acreedores para cobrarse con un bien.</w:t>
            </w:r>
          </w:p>
        </w:tc>
      </w:tr>
      <w:tr>
        <w:trPr>
          <w:cantSplit/>
        </w:trPr>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Reestructuración</w:t>
            </w:r>
          </w:p>
        </w:tc>
        <w:tc>
          <w:tcPr>
            <w:tcW w:type="dxa" w:w="67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Modificación de las condiciones de un crédito por dificultades de pago del deudor.</w:t>
            </w:r>
          </w:p>
        </w:tc>
      </w:tr>
      <w:tr>
        <w:trPr>
          <w:cantSplit/>
        </w:trPr>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Refinanciamiento</w:t>
            </w:r>
          </w:p>
        </w:tc>
        <w:tc>
          <w:tcPr>
            <w:tcW w:type="dxa" w:w="67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Nuevo crédito para cancelar total o parcialmente uno anterior.</w:t>
            </w:r>
          </w:p>
        </w:tc>
      </w:tr>
      <w:tr>
        <w:trPr>
          <w:cantSplit/>
        </w:trPr>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Relación deuda-ingreso</w:t>
            </w:r>
          </w:p>
        </w:tc>
        <w:tc>
          <w:tcPr>
            <w:tcW w:type="dxa" w:w="67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Pagos mensuales de deuda divididos entre el ingreso neto mensual.</w:t>
            </w:r>
          </w:p>
        </w:tc>
      </w:tr>
      <w:tr>
        <w:trPr>
          <w:cantSplit/>
        </w:trPr>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Reserva de saneamiento</w:t>
            </w:r>
          </w:p>
        </w:tc>
        <w:tc>
          <w:tcPr>
            <w:tcW w:type="dxa" w:w="67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Provisión contable para cubrir pérdidas esperadas de la cartera, según la norma aplicable.</w:t>
            </w:r>
          </w:p>
        </w:tc>
      </w:tr>
      <w:tr>
        <w:trPr>
          <w:cantSplit/>
        </w:trPr>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Riesgo inherente / residual</w:t>
            </w:r>
          </w:p>
        </w:tc>
        <w:tc>
          <w:tcPr>
            <w:tcW w:type="dxa" w:w="67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Riesgo antes / después de considerar los controles.</w:t>
            </w:r>
          </w:p>
        </w:tc>
      </w:tr>
      <w:tr>
        <w:trPr>
          <w:cantSplit/>
        </w:trPr>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Segregación de funciones</w:t>
            </w:r>
          </w:p>
        </w:tc>
        <w:tc>
          <w:tcPr>
            <w:tcW w:type="dxa" w:w="67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Separación de tareas incompatibles entre distintas personas.</w:t>
            </w:r>
          </w:p>
        </w:tc>
      </w:tr>
      <w:tr>
        <w:trPr>
          <w:cantSplit/>
        </w:trPr>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Tasa máxima legal</w:t>
            </w:r>
          </w:p>
        </w:tc>
        <w:tc>
          <w:tcPr>
            <w:tcW w:type="dxa" w:w="67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Tasa máxima publicada semestralmente por el BCR por segmento y monto, conforme a la Ley contra la Usura.</w:t>
            </w:r>
          </w:p>
        </w:tc>
      </w:tr>
      <w:tr>
        <w:trPr>
          <w:cantSplit/>
        </w:trPr>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Tasa de transición (roll rate)</w:t>
            </w:r>
          </w:p>
        </w:tc>
        <w:tc>
          <w:tcPr>
            <w:tcW w:type="dxa" w:w="67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Porcentaje de créditos que pasa de un tramo de atraso al siguiente.</w:t>
            </w:r>
          </w:p>
        </w:tc>
      </w:tr>
      <w:tr>
        <w:trPr>
          <w:cantSplit/>
        </w:trPr>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Trazabilidad</w:t>
            </w:r>
          </w:p>
        </w:tc>
        <w:tc>
          <w:tcPr>
            <w:tcW w:type="dxa" w:w="67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Capacidad de reconstruir una decisión a partir de su evidencia.</w:t>
            </w:r>
          </w:p>
        </w:tc>
      </w:tr>
      <w:tr>
        <w:trPr>
          <w:cantSplit/>
        </w:trPr>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Valor comercial / de realización</w:t>
            </w:r>
          </w:p>
        </w:tc>
        <w:tc>
          <w:tcPr>
            <w:tcW w:type="dxa" w:w="67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Precio en venta normal / en venta forzada o rápida.</w:t>
            </w:r>
          </w:p>
        </w:tc>
      </w:tr>
    </w:tbl>
    <w:p>
      <w:pPr>
        <w:spacing w:after="120"/>
      </w:pPr>
    </w:p>
    <w:p>
      <w:pPr>
        <w:pStyle w:val="Heading1"/>
        <w:pageBreakBefore/>
      </w:pPr>
      <w:r>
        <w:t xml:space="preserve">Anexo M. Referencias normativas y fuentes consultadas</w:t>
      </w:r>
    </w:p>
    <w:p>
      <w:pPr>
        <w:keepNext w:val="false"/>
        <w:spacing w:after="120" w:before="0"/>
        <w:jc w:val="both"/>
      </w:pPr>
      <w:r>
        <w:t xml:space="preserve">Fecha de consulta de todas las fuentes: </w:t>
      </w:r>
      <w:r>
        <w:rPr>
          <w:b/>
          <w:bCs/>
        </w:rPr>
        <w:t xml:space="preserve">27 de octubre de 2026</w:t>
      </w:r>
      <w:r>
        <w:t xml:space="preserve">. Los portales oficiales deben consultarse para obtener el texto vigente y sus reformas.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48"/>
        <w:gridCol w:w="4212"/>
      </w:tblGrid>
      <w:tr>
        <w:trPr>
          <w:cantSplit/>
          <w:tblHeader/>
        </w:trPr>
        <w:tc>
          <w:tcPr>
            <w:tcW w:type="dxa" w:w="5148"/>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Fuente</w:t>
            </w:r>
          </w:p>
        </w:tc>
        <w:tc>
          <w:tcPr>
            <w:tcW w:type="dxa" w:w="421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Enlace de consulta</w:t>
            </w:r>
          </w:p>
        </w:tc>
      </w:tr>
      <w:tr>
        <w:trPr>
          <w:cantSplit/>
        </w:trPr>
        <w:tc>
          <w:tcPr>
            <w:tcW w:type="dxa" w:w="51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Banco Central de Reserva – Regulaciones (NRP, NCM)</w:t>
            </w:r>
          </w:p>
        </w:tc>
        <w:tc>
          <w:tcPr>
            <w:tcW w:type="dxa" w:w="421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https://www.bcr.gob.sv/regulaciones/</w:t>
            </w:r>
          </w:p>
        </w:tc>
      </w:tr>
      <w:tr>
        <w:trPr>
          <w:cantSplit/>
        </w:trPr>
        <w:tc>
          <w:tcPr>
            <w:tcW w:type="dxa" w:w="51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BCR – NRP-C-01/2020 (gestión del riesgo crediticio de BANDESAL; ejemplo de ámbito específico)</w:t>
            </w:r>
          </w:p>
        </w:tc>
        <w:tc>
          <w:tcPr>
            <w:tcW w:type="dxa" w:w="421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https://www.bcr.gob.sv/regulaciones/upload/NRP-C-012020.pdf</w:t>
            </w:r>
          </w:p>
        </w:tc>
      </w:tr>
      <w:tr>
        <w:trPr>
          <w:cantSplit/>
        </w:trPr>
        <w:tc>
          <w:tcPr>
            <w:tcW w:type="dxa" w:w="51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BCR – Comunicado: la economía salvadoreña creció 3.9 % en 2025 (27/03/2026)</w:t>
            </w:r>
          </w:p>
        </w:tc>
        <w:tc>
          <w:tcPr>
            <w:tcW w:type="dxa" w:w="421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https://www.bcr.gob.sv/2026/03/27/la-economia-salvadorena-crecio-3-9-en-2025/</w:t>
            </w:r>
          </w:p>
        </w:tc>
      </w:tr>
      <w:tr>
        <w:trPr>
          <w:cantSplit/>
        </w:trPr>
        <w:tc>
          <w:tcPr>
            <w:tcW w:type="dxa" w:w="51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Superintendencia del Sistema Financiero – Leyes y normativa</w:t>
            </w:r>
          </w:p>
        </w:tc>
        <w:tc>
          <w:tcPr>
            <w:tcW w:type="dxa" w:w="421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https://ssf.gob.sv/</w:t>
            </w:r>
          </w:p>
        </w:tc>
      </w:tr>
      <w:tr>
        <w:trPr>
          <w:cantSplit/>
        </w:trPr>
        <w:tc>
          <w:tcPr>
            <w:tcW w:type="dxa" w:w="51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SSF – NCB-022 (versión publicada 2020)</w:t>
            </w:r>
          </w:p>
        </w:tc>
        <w:tc>
          <w:tcPr>
            <w:tcW w:type="dxa" w:w="421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https://ssf.gob.sv/wp-content/uploads/ssf2018/Normas_Contables_Bancos/2020/NCB-022.pdf</w:t>
            </w:r>
          </w:p>
        </w:tc>
      </w:tr>
      <w:tr>
        <w:trPr>
          <w:cantSplit/>
        </w:trPr>
        <w:tc>
          <w:tcPr>
            <w:tcW w:type="dxa" w:w="51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SSF – NPB4-49</w:t>
            </w:r>
          </w:p>
        </w:tc>
        <w:tc>
          <w:tcPr>
            <w:tcW w:type="dxa" w:w="421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https://www.ssf.gob.sv/images/stories/desc_normas_prud_bancos/NPB4-49.pdf</w:t>
            </w:r>
          </w:p>
        </w:tc>
      </w:tr>
      <w:tr>
        <w:trPr>
          <w:cantSplit/>
        </w:trPr>
        <w:tc>
          <w:tcPr>
            <w:tcW w:type="dxa" w:w="51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SSF – Ley de Regulación de los Servicios de Información sobre el Historial de Crédito de las Personas</w:t>
            </w:r>
          </w:p>
        </w:tc>
        <w:tc>
          <w:tcPr>
            <w:tcW w:type="dxa" w:w="421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https://www.ssf.gob.sv/descargas/Leyes/Leyes%20Financieras/Ley%20de%20Regulacion%20de%20los%20Servicios%20de%20Informacion%20sobre%20el%20Historial.pdf</w:t>
            </w:r>
          </w:p>
        </w:tc>
      </w:tr>
      <w:tr>
        <w:trPr>
          <w:cantSplit/>
        </w:trPr>
        <w:tc>
          <w:tcPr>
            <w:tcW w:type="dxa" w:w="51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Asamblea Legislativa – D.L. No. 426 (Ley Especial contra el Lavado de Activos, FT y FPADM)</w:t>
            </w:r>
          </w:p>
        </w:tc>
        <w:tc>
          <w:tcPr>
            <w:tcW w:type="dxa" w:w="421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https://www.asamblea.gob.sv/sites/default/files/documents/decretos/99292FE3-90E2-4084-95A1-A034902EE904.pdf</w:t>
            </w:r>
          </w:p>
        </w:tc>
      </w:tr>
      <w:tr>
        <w:trPr>
          <w:cantSplit/>
        </w:trPr>
        <w:tc>
          <w:tcPr>
            <w:tcW w:type="dxa" w:w="51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Asamblea Legislativa – Reforma a la Ley de Bancos (derogatoria del Art. 10, 2026)</w:t>
            </w:r>
          </w:p>
        </w:tc>
        <w:tc>
          <w:tcPr>
            <w:tcW w:type="dxa" w:w="421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https://www.asamblea.gob.sv/node/13877</w:t>
            </w:r>
          </w:p>
        </w:tc>
      </w:tr>
      <w:tr>
        <w:trPr>
          <w:cantSplit/>
        </w:trPr>
        <w:tc>
          <w:tcPr>
            <w:tcW w:type="dxa" w:w="51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Asamblea Legislativa – Decretos (Ley para la Protección de Datos Personales y otras)</w:t>
            </w:r>
          </w:p>
        </w:tc>
        <w:tc>
          <w:tcPr>
            <w:tcW w:type="dxa" w:w="421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https://www.asamblea.gob.sv/decretos</w:t>
            </w:r>
          </w:p>
        </w:tc>
      </w:tr>
      <w:tr>
        <w:trPr>
          <w:cantSplit/>
        </w:trPr>
        <w:tc>
          <w:tcPr>
            <w:tcW w:type="dxa" w:w="51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Portal de Transparencia – Copias oficiales de normas (NRP-20, NRP-36, NCM-02)</w:t>
            </w:r>
          </w:p>
        </w:tc>
        <w:tc>
          <w:tcPr>
            <w:tcW w:type="dxa" w:w="421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https://transparencia.gob.sv/</w:t>
            </w:r>
          </w:p>
        </w:tc>
      </w:tr>
      <w:tr>
        <w:trPr>
          <w:cantSplit/>
        </w:trPr>
        <w:tc>
          <w:tcPr>
            <w:tcW w:type="dxa" w:w="51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Defensoría del Consumidor</w:t>
            </w:r>
          </w:p>
        </w:tc>
        <w:tc>
          <w:tcPr>
            <w:tcW w:type="dxa" w:w="421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https://www.defensoria.gob.sv/</w:t>
            </w:r>
          </w:p>
        </w:tc>
      </w:tr>
      <w:tr>
        <w:trPr>
          <w:cantSplit/>
        </w:trPr>
        <w:tc>
          <w:tcPr>
            <w:tcW w:type="dxa" w:w="51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Centro Nacional de Registros – Registro de Garantías Mobiliarias</w:t>
            </w:r>
          </w:p>
        </w:tc>
        <w:tc>
          <w:tcPr>
            <w:tcW w:type="dxa" w:w="421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https://www.cnr.gob.sv/</w:t>
            </w:r>
          </w:p>
        </w:tc>
      </w:tr>
      <w:tr>
        <w:trPr>
          <w:cantSplit/>
        </w:trPr>
        <w:tc>
          <w:tcPr>
            <w:tcW w:type="dxa" w:w="51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INSAFOCOOP</w:t>
            </w:r>
          </w:p>
        </w:tc>
        <w:tc>
          <w:tcPr>
            <w:tcW w:type="dxa" w:w="421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https://www.insafocoop.gob.sv/</w:t>
            </w:r>
          </w:p>
        </w:tc>
      </w:tr>
      <w:tr>
        <w:trPr>
          <w:cantSplit/>
        </w:trPr>
        <w:tc>
          <w:tcPr>
            <w:tcW w:type="dxa" w:w="51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Diario Oficial – Imprenta Nacional</w:t>
            </w:r>
          </w:p>
        </w:tc>
        <w:tc>
          <w:tcPr>
            <w:tcW w:type="dxa" w:w="421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https://www.diariooficial.gob.sv/</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77C02" w:sz="4"/>
              <w:left w:val="single" w:color="C77C02" w:sz="24"/>
              <w:bottom w:val="single" w:color="C77C02" w:sz="4"/>
              <w:right w:val="single" w:color="C77C02" w:sz="4"/>
            </w:tcBorders>
            <w:shd w:fill="FFF4E0" w:color="auto" w:val="clear"/>
            <w:tcMar>
              <w:top w:type="dxa" w:w="100"/>
              <w:left w:type="dxa" w:w="180"/>
              <w:bottom w:type="dxa" w:w="100"/>
              <w:right w:type="dxa" w:w="180"/>
            </w:tcMar>
          </w:tcPr>
          <w:p>
            <w:pPr>
              <w:spacing w:after="60"/>
            </w:pPr>
            <w:r>
              <w:rPr>
                <w:b/>
                <w:bCs/>
                <w:color w:val="C77C02"/>
                <w:sz w:val="20"/>
                <w:szCs w:val="20"/>
              </w:rPr>
              <w:t xml:space="preserve">Transparencia sobre la verificación</w:t>
            </w:r>
          </w:p>
          <w:p>
            <w:pPr>
              <w:spacing w:after="50"/>
              <w:jc w:val="left"/>
            </w:pPr>
            <w:r>
              <w:rPr>
                <w:sz w:val="20"/>
                <w:szCs w:val="20"/>
              </w:rPr>
              <w:t xml:space="preserve">Algunos datos se confirmaron a través de fuentes secundarias (análisis jurídicos, informes de bancos, prensa) porque los portales del BCR y la SSF no pudieron descargarse directamente desde el entorno de elaboración. Las disposiciones cuya vigencia no se comprobó por completo se listan en la sección P.5.3.</w:t>
            </w:r>
          </w:p>
        </w:tc>
      </w:tr>
    </w:tbl>
    <w:p>
      <w:pPr>
        <w:spacing w:after="120"/>
      </w:pPr>
    </w:p>
    <w:p>
      <w:pPr>
        <w:pStyle w:val="Heading1"/>
        <w:pageBreakBefore/>
      </w:pPr>
      <w:r>
        <w:t xml:space="preserve">Anexo N. Control de calidad de esta guía</w:t>
      </w:r>
    </w:p>
    <w:p>
      <w:pPr>
        <w:keepNext w:val="false"/>
        <w:spacing w:after="120" w:before="0"/>
        <w:jc w:val="both"/>
      </w:pPr>
      <w:r>
        <w:t xml:space="preserve">Registro de las revisiones efectivamente realizadas durante la elaboración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6"/>
        <w:gridCol w:w="5804"/>
      </w:tblGrid>
      <w:tr>
        <w:trPr>
          <w:cantSplit/>
          <w:tblHeader/>
        </w:trPr>
        <w:tc>
          <w:tcPr>
            <w:tcW w:type="dxa" w:w="355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Revisión</w:t>
            </w:r>
          </w:p>
        </w:tc>
        <w:tc>
          <w:tcPr>
            <w:tcW w:type="dxa" w:w="5804"/>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Resultado</w:t>
            </w:r>
          </w:p>
        </w:tc>
      </w:tr>
      <w:tr>
        <w:trPr>
          <w:cantSplit/>
        </w:trPr>
        <w:tc>
          <w:tcPr>
            <w:tcW w:type="dxa" w:w="355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Presencia de los 11 apartados originales y de los 18 capítulos</w:t>
            </w:r>
          </w:p>
        </w:tc>
        <w:tc>
          <w:tcPr>
            <w:tcW w:type="dxa" w:w="580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Verificada mediante la Tabla P.2 y el índice.</w:t>
            </w:r>
          </w:p>
        </w:tc>
      </w:tr>
      <w:tr>
        <w:trPr>
          <w:cantSplit/>
        </w:trPr>
        <w:tc>
          <w:tcPr>
            <w:tcW w:type="dxa" w:w="355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Consistencia de los cálculos</w:t>
            </w:r>
          </w:p>
        </w:tc>
        <w:tc>
          <w:tcPr>
            <w:tcW w:type="dxa" w:w="580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Todas las cuotas, indicadores y escenarios se recalcularon con un programa independiente; los resultados coinciden con los publicados (redondeo a centavos).</w:t>
            </w:r>
          </w:p>
        </w:tc>
      </w:tr>
      <w:tr>
        <w:trPr>
          <w:cantSplit/>
        </w:trPr>
        <w:tc>
          <w:tcPr>
            <w:tcW w:type="dxa" w:w="355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Coherencia entre resultados y recomendaciones</w:t>
            </w:r>
          </w:p>
        </w:tc>
        <w:tc>
          <w:tcPr>
            <w:tcW w:type="dxa" w:w="580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Verificada en la Tabla 16.1.</w:t>
            </w:r>
          </w:p>
        </w:tc>
      </w:tr>
      <w:tr>
        <w:trPr>
          <w:cantSplit/>
        </w:trPr>
        <w:tc>
          <w:tcPr>
            <w:tcW w:type="dxa" w:w="355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Identificación de ejemplos como ficticios</w:t>
            </w:r>
          </w:p>
        </w:tc>
        <w:tc>
          <w:tcPr>
            <w:tcW w:type="dxa" w:w="580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Avisos en Presentación, cada caso y el informe de ejemplo.</w:t>
            </w:r>
          </w:p>
        </w:tc>
      </w:tr>
      <w:tr>
        <w:trPr>
          <w:cantSplit/>
        </w:trPr>
        <w:tc>
          <w:tcPr>
            <w:tcW w:type="dxa" w:w="355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Distinción entre obligaciones legales y buenas prácticas</w:t>
            </w:r>
          </w:p>
        </w:tc>
        <w:tc>
          <w:tcPr>
            <w:tcW w:type="dxa" w:w="580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Recuadros diferenciados (verde: referencia normativa; azul: buena práctica; ámbar: nota metodológica; rojo: alerta).</w:t>
            </w:r>
          </w:p>
        </w:tc>
      </w:tr>
      <w:tr>
        <w:trPr>
          <w:cantSplit/>
        </w:trPr>
        <w:tc>
          <w:tcPr>
            <w:tcW w:type="dxa" w:w="355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Referencias normativas</w:t>
            </w:r>
          </w:p>
        </w:tc>
        <w:tc>
          <w:tcPr>
            <w:tcW w:type="dxa" w:w="580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Verificadas con fecha de consulta; las no comprobadas se señalan en P.5.3.</w:t>
            </w:r>
          </w:p>
        </w:tc>
      </w:tr>
      <w:tr>
        <w:trPr>
          <w:cantSplit/>
        </w:trPr>
        <w:tc>
          <w:tcPr>
            <w:tcW w:type="dxa" w:w="355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Apertura y edición del archivo</w:t>
            </w:r>
          </w:p>
        </w:tc>
        <w:tc>
          <w:tcPr>
            <w:tcW w:type="dxa" w:w="580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El archivo se validó estructuralmente y se convirtió a PDF con LibreOffice para revisar la paginación. Se recomienda actualizar el índice en Word (clic derecho &gt; Actualizar campos).</w:t>
            </w:r>
          </w:p>
        </w:tc>
      </w:tr>
    </w:tbl>
    <w:p>
      <w:pPr>
        <w:spacing w:after="120"/>
      </w:pPr>
    </w:p>
    <w:sectPr>
      <w:headerReference w:type="default" r:id="rId17"/>
      <w:footerReference w:type="default" r:id="rId18"/>
      <w:type w:val="nextPage"/>
      <w:pgSz w:w="12240" w:h="15840" w:orient="portrait"/>
      <w:pgMar w:top="1440" w:right="1440" w:bottom="1300" w:left="144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7D5" w:sz="4" w:space="4"/>
      </w:pBdr>
      <w:jc w:val="center"/>
    </w:pPr>
    <w:r>
      <w:rPr>
        <w:color w:val="595959"/>
        <w:sz w:val="16"/>
        <w:szCs w:val="16"/>
      </w:rPr>
      <w:t xml:space="preserve">Documento de referencia metodológica · Ejemplos con datos ficticios · 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7D5" w:sz="4" w:space="4"/>
      </w:pBdr>
      <w:jc w:val="center"/>
    </w:pPr>
    <w:r>
      <w:rPr>
        <w:color w:val="595959"/>
        <w:sz w:val="16"/>
        <w:szCs w:val="16"/>
      </w:rPr>
      <w:t xml:space="preserve">Documento de referencia metodológica · Ejemplos con datos ficticios · 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7D5" w:sz="4" w:space="4"/>
      </w:pBdr>
      <w:jc w:val="center"/>
    </w:pPr>
    <w:r>
      <w:rPr>
        <w:color w:val="595959"/>
        <w:sz w:val="16"/>
        <w:szCs w:val="16"/>
      </w:rPr>
      <w:t xml:space="preserve">Documento de referencia metodológica · Ejemplos con datos ficticios · 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7D5" w:sz="4" w:space="4"/>
      </w:pBdr>
      <w:jc w:val="center"/>
    </w:pPr>
    <w:r>
      <w:rPr>
        <w:color w:val="595959"/>
        <w:sz w:val="16"/>
        <w:szCs w:val="16"/>
      </w:rPr>
      <w:t xml:space="preserve">Documento de referencia metodológica · Ejemplos con datos ficticios · 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7D5" w:sz="4" w:space="4"/>
      </w:pBdr>
      <w:jc w:val="center"/>
    </w:pPr>
    <w:r>
      <w:rPr>
        <w:color w:val="595959"/>
        <w:sz w:val="16"/>
        <w:szCs w:val="16"/>
      </w:rPr>
      <w:t xml:space="preserve">Documento de referencia metodológica · Ejemplos con datos ficticios · 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7D5" w:sz="4" w:space="4"/>
      </w:pBdr>
      <w:jc w:val="center"/>
    </w:pPr>
    <w:r>
      <w:rPr>
        <w:color w:val="595959"/>
        <w:sz w:val="16"/>
        <w:szCs w:val="16"/>
      </w:rPr>
      <w:t xml:space="preserve">Documento de referencia metodológica · Ejemplos con datos ficticios · 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color w:val="595959"/>
        <w:sz w:val="16"/>
        <w:szCs w:val="16"/>
      </w:rPr>
      <w:t xml:space="preserve">Guía Integral de Evaluación Crediticia en El Salvador · Actualización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color w:val="595959"/>
        <w:sz w:val="16"/>
        <w:szCs w:val="16"/>
      </w:rPr>
      <w:t xml:space="preserve">Guía Integral de Evaluación Crediticia en El Salvador · Actualización 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color w:val="595959"/>
        <w:sz w:val="16"/>
        <w:szCs w:val="16"/>
      </w:rPr>
      <w:t xml:space="preserve">Guía Integral de Evaluación Crediticia en El Salvador · Actualización 2026</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color w:val="595959"/>
        <w:sz w:val="16"/>
        <w:szCs w:val="16"/>
      </w:rPr>
      <w:t xml:space="preserve">Guía Integral de Evaluación Crediticia en El Salvador · Actualización 2026</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color w:val="595959"/>
        <w:sz w:val="16"/>
        <w:szCs w:val="16"/>
      </w:rPr>
      <w:t xml:space="preserve">Guía Integral de Evaluación Crediticia en El Salvador · Actualización 2026</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color w:val="595959"/>
        <w:sz w:val="16"/>
        <w:szCs w:val="16"/>
      </w:rPr>
      <w:t xml:space="preserve">Guía Integral de Evaluación Crediticia en El Salvador · Actualización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lvl w:ilvl="2" w15:tentative="1">
      <w:start w:val="1"/>
      <w:numFmt w:val="bullet"/>
      <w:lvlText w:val="▪"/>
      <w:lvlJc w:val="left"/>
      <w:pPr>
        <w:ind w:left="14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3"/>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3"/>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3"/>
    <w:lvlOverride w:ilvl="0">
      <w:startOverride w:val="1"/>
    </w:lvlOverride>
  </w:num>
  <w:num w:numId="25">
    <w:abstractNumId w:val="2"/>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2"/>
    <w:lvlOverride w:ilvl="0">
      <w:startOverride w:val="1"/>
    </w:lvlOverride>
  </w:num>
  <w:num w:numId="30">
    <w:abstractNumId w:val="3"/>
    <w:lvlOverride w:ilvl="0">
      <w:startOverride w:val="1"/>
    </w:lvlOverride>
  </w:num>
  <w:num w:numId="31">
    <w:abstractNumId w:val="2"/>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2"/>
    <w:lvlOverride w:ilvl="0">
      <w:startOverride w:val="1"/>
    </w:lvlOverride>
  </w:num>
  <w:num w:numId="35">
    <w:abstractNumId w:val="3"/>
    <w:lvlOverride w:ilvl="0">
      <w:startOverride w:val="1"/>
    </w:lvlOverride>
  </w:num>
  <w:num w:numId="36">
    <w:abstractNumId w:val="2"/>
    <w:lvlOverride w:ilvl="0">
      <w:startOverride w:val="1"/>
    </w:lvlOverride>
  </w:num>
  <w:num w:numId="3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12" w:space="6"/>
      </w:pBdr>
      <w:spacing w:after="240" w:before="12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2E75B6"/>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1F3864"/>
      <w:sz w:val="22"/>
      <w:szCs w:val="22"/>
    </w:rPr>
  </w:style>
  <w:style w:type="paragraph" w:styleId="TOC1">
    <w:name w:val="toc 1"/>
    <w:basedOn w:val="Normal"/>
    <w:next w:val="Normal"/>
    <w:pPr>
      <w:tabs>
        <w:tab w:val="right" w:pos="9350" w:leader="dot"/>
      </w:tabs>
      <w:spacing w:after="20" w:before="100"/>
    </w:pPr>
    <w:rPr>
      <w:b/>
      <w:bCs/>
      <w:color w:val="1F3864"/>
      <w:sz w:val="21"/>
      <w:szCs w:val="21"/>
    </w:rPr>
  </w:style>
  <w:style w:type="paragraph" w:styleId="TOC2">
    <w:name w:val="toc 2"/>
    <w:basedOn w:val="Normal"/>
    <w:next w:val="Normal"/>
    <w:pPr>
      <w:tabs>
        <w:tab w:val="right" w:pos="9350" w:leader="dot"/>
      </w:tabs>
      <w:spacing w:after="0" w:before="0"/>
      <w:ind w:left="360"/>
    </w:pPr>
    <w:rPr>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Integral de Evaluación Crediticia en El Salvador — Actualización 2026</dc:title>
  <dc:creator>Equipo de metodología de riesgo crediticio</dc:creator>
  <dc:description>Metodología integral de evaluación crediticia adaptada a El Salvador</dc:description>
  <cp:lastModifiedBy>Un-named</cp:lastModifiedBy>
  <cp:revision>1</cp:revision>
  <dcterms:created xsi:type="dcterms:W3CDTF">2026-10-27T16:24:06.870Z</dcterms:created>
  <dcterms:modified xsi:type="dcterms:W3CDTF">2026-10-27T16:24:06.870Z</dcterms:modified>
</cp:coreProperties>
</file>

<file path=docProps/custom.xml><?xml version="1.0" encoding="utf-8"?>
<Properties xmlns="http://schemas.openxmlformats.org/officeDocument/2006/custom-properties" xmlns:vt="http://schemas.openxmlformats.org/officeDocument/2006/docPropsVTypes"/>
</file>