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COMÉDICA DE R.L. · Departamento de Administración de Riesgos</w:t>
            </w:r>
          </w:p>
          <w:p>
            <w:r>
              <w:rPr>
                <w:b/>
                <w:color w:val="FFFFFF"/>
                <w:sz w:val="36"/>
              </w:rPr>
              <w:t>Guía de configuración en Microsoft Forms</w:t>
            </w:r>
          </w:p>
          <w:p>
            <w:r>
              <w:rPr>
                <w:color w:val="FFFFFF"/>
                <w:sz w:val="22"/>
              </w:rPr>
              <w:t>Entrevista para el Análisis del Impacto del Negocio (BIA)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CE6F2"/>
          </w:tcPr>
          <w:p>
            <w:r/>
            <w:r>
              <w:rPr>
                <w:b w:val="0"/>
                <w:sz w:val="20"/>
              </w:rPr>
              <w:t>Este documento NO se importa. Úselo para revisar y terminar de configurar el formulario después de importar el archivo BIA_COMEDICA_Importar_Forms.docx.</w:t>
            </w:r>
          </w:p>
        </w:tc>
      </w:tr>
    </w:tbl>
    <w:p>
      <w:pPr>
        <w:pStyle w:val="Heading1"/>
      </w:pPr>
      <w:r>
        <w:rPr>
          <w:color w:val="1F3864"/>
        </w:rPr>
        <w:t>1. Importar el formulario</w:t>
      </w:r>
    </w:p>
    <w:p>
      <w:pPr>
        <w:pStyle w:val="ListNumber"/>
      </w:pPr>
      <w:r>
        <w:t>Entre a forms.office.com con su cuenta institucional.</w:t>
      </w:r>
    </w:p>
    <w:p>
      <w:pPr>
        <w:pStyle w:val="ListNumber"/>
      </w:pPr>
      <w:r>
        <w:t>Seleccione Importación rápida &gt; Cargar desde este dispositivo.</w:t>
      </w:r>
    </w:p>
    <w:p>
      <w:pPr>
        <w:pStyle w:val="ListNumber"/>
      </w:pPr>
      <w:r>
        <w:t>Elija el archivo BIA_COMEDICA_Importar_Forms.docx y seleccione Formulario.</w:t>
      </w:r>
    </w:p>
    <w:p>
      <w:pPr>
        <w:pStyle w:val="ListNumber"/>
      </w:pPr>
      <w:r>
        <w:t>Revise la vista previa: deben aparecer 6 secciones y 25 preguntas. Luego seleccione Iniciar revisión o Confirmar.</w:t>
      </w:r>
    </w:p>
    <w:p>
      <w:pPr>
        <w:pStyle w:val="Heading1"/>
      </w:pPr>
      <w:r>
        <w:rPr>
          <w:color w:val="1F3864"/>
        </w:rPr>
        <w:t>2. Cambiar el tipo de pregunta</w:t>
      </w:r>
    </w:p>
    <w:p>
      <w:r>
        <w:t>La importación crea preguntas de texto y de opción. Las siguientes deben ajustarse para usar todos los tipos de Forms: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928"/>
        <w:gridCol w:w="6350"/>
      </w:tblGrid>
      <w:tr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Tipo final</w:t>
            </w:r>
          </w:p>
        </w:tc>
        <w:tc>
          <w:tcPr>
            <w:tcW w:type="dxa" w:w="6350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Cómo configurarla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9"/>
              </w:rPr>
              <w:t>Si no quedó como Fecha, cambie el tipo a Fecha.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r/>
            <w:r>
              <w:rPr>
                <w:b w:val="0"/>
                <w:sz w:val="19"/>
              </w:rPr>
              <w:t>5 y 20</w:t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b w:val="0"/>
                <w:sz w:val="19"/>
              </w:rPr>
              <w:t>Varias respuestas</w:t>
            </w:r>
          </w:p>
        </w:tc>
        <w:tc>
          <w:tcPr>
            <w:tcW w:type="dxa" w:w="6350"/>
            <w:shd w:val="clear" w:color="auto" w:fill="F2F2F2"/>
          </w:tcPr>
          <w:p>
            <w:r/>
            <w:r>
              <w:rPr>
                <w:b w:val="0"/>
                <w:sz w:val="19"/>
              </w:rPr>
              <w:t>Active Varias respuestas. En la 5, active también Agregar opción Otro.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Likert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9"/>
              </w:rPr>
              <w:t>Elimine la pregunta importada y cree una Likert. Opciones: Muy alto, Alto, Moderado, Bajo, Muy bajo. Declaraciones: Financiero, Operacional, Legal o regulatorio, Reputacional, Clientes y asociados, Personas, Infraestructura y equipo.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b w:val="0"/>
                <w:sz w:val="19"/>
              </w:rPr>
              <w:t>Lista desplegable</w:t>
            </w:r>
          </w:p>
        </w:tc>
        <w:tc>
          <w:tcPr>
            <w:tcW w:type="dxa" w:w="6350"/>
            <w:shd w:val="clear" w:color="auto" w:fill="F2F2F2"/>
          </w:tcPr>
          <w:p>
            <w:r/>
            <w:r>
              <w:rPr>
                <w:b w:val="0"/>
                <w:sz w:val="19"/>
              </w:rPr>
              <w:t>En el menú ··· de la pregunta, active Lista desplegable.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Calificación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9"/>
              </w:rPr>
              <w:t>Cambie a Calificación, 5 niveles, símbolo Número. Etiquetas: Nada preparado / Totalmente preparado.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b w:val="0"/>
                <w:sz w:val="19"/>
              </w:rPr>
              <w:t>Opción + Otro</w:t>
            </w:r>
          </w:p>
        </w:tc>
        <w:tc>
          <w:tcPr>
            <w:tcW w:type="dxa" w:w="6350"/>
            <w:shd w:val="clear" w:color="auto" w:fill="F2F2F2"/>
          </w:tcPr>
          <w:p>
            <w:r/>
            <w:r>
              <w:rPr>
                <w:b w:val="0"/>
                <w:sz w:val="19"/>
              </w:rPr>
              <w:t>Active Agregar opción Otro para que escriban observaciones.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Texto largo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Respuesta larga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9"/>
              </w:rPr>
              <w:t>En todas las preguntas de Texto largo, active Respuesta larga.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r/>
            <w:r>
              <w:rPr>
                <w:b w:val="0"/>
                <w:sz w:val="19"/>
              </w:rPr>
              <w:t>Todas</w:t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b w:val="0"/>
                <w:sz w:val="19"/>
              </w:rPr>
              <w:t>Obligatoria</w:t>
            </w:r>
          </w:p>
        </w:tc>
        <w:tc>
          <w:tcPr>
            <w:tcW w:type="dxa" w:w="6350"/>
            <w:shd w:val="clear" w:color="auto" w:fill="F2F2F2"/>
          </w:tcPr>
          <w:p>
            <w:r/>
            <w:r>
              <w:rPr>
                <w:b w:val="0"/>
                <w:sz w:val="19"/>
              </w:rPr>
              <w:t>Active Obligatorio en las preguntas marcadas con Sí en la tabla de la sección 4.</w:t>
            </w:r>
          </w:p>
        </w:tc>
      </w:tr>
    </w:tbl>
    <w:p>
      <w:pPr>
        <w:pStyle w:val="Heading1"/>
      </w:pPr>
      <w:r>
        <w:rPr>
          <w:color w:val="1F3864"/>
        </w:rPr>
        <w:t>3. Ramificación</w:t>
      </w:r>
    </w:p>
    <w:p>
      <w:r>
        <w:t>En el menú ··· (Más configuraciones) &gt; Ramificación, configure: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1701"/>
        <w:gridCol w:w="3402"/>
      </w:tblGrid>
      <w:tr>
        <w:tc>
          <w:tcPr>
            <w:tcW w:type="dxa" w:w="4535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Si responde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Ir 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11. Procedimientos alternos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Pregunta 13 (MTPD)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 w:val="0"/>
                <w:sz w:val="19"/>
              </w:rPr>
              <w:t>22. Proveedores críticos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b w:val="0"/>
                <w:sz w:val="19"/>
              </w:rPr>
              <w:t>Pregunta 24 (preparación)</w:t>
            </w:r>
          </w:p>
        </w:tc>
      </w:tr>
    </w:tbl>
    <w:p>
      <w:r>
        <w:rPr>
          <w:i/>
        </w:rPr>
        <w:t>Las preguntas 12 y 23 deben quedar como no obligatorias.</w:t>
      </w:r>
    </w:p>
    <w:p>
      <w:pPr>
        <w:pStyle w:val="Heading1"/>
      </w:pPr>
      <w:r>
        <w:rPr>
          <w:color w:val="1F3864"/>
        </w:rPr>
        <w:t>4. Tipo de respuesta por pregunta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6236"/>
        <w:gridCol w:w="1474"/>
        <w:gridCol w:w="1304"/>
      </w:tblGrid>
      <w:tr>
        <w:tc>
          <w:tcPr>
            <w:tcW w:type="dxa" w:w="624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304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Obligatoria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Fecha de la entrevista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b w:val="0"/>
                <w:sz w:val="19"/>
              </w:rPr>
              <w:t>Nombre completo y cargo del entrevistado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Texto corto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Gerencia o departamento y nombre del proceso que representa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Texto corto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b w:val="0"/>
                <w:sz w:val="19"/>
              </w:rPr>
              <w:t>¿Qué departamentos participan en el proceso y cuáles son sus principales responsabilidades?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Texto largo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¿Qué amenazas podrían interrumpir el proceso? Puede seleccionar varias.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Varias respuestas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b w:val="0"/>
                <w:sz w:val="19"/>
              </w:rPr>
              <w:t>¿Qué riesgo se materializaría y qué consecuencias tendría la interrupción? Indique servicios...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Texto largo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Evalúe la severidad del impacto de una interrupción en cada aspecto: Financiero, Operacional...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Likert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b w:val="0"/>
                <w:sz w:val="19"/>
              </w:rPr>
              <w:t>¿El proceso es crítico para la continuidad de las operaciones de la Cooperativa?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Opción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¿El proceso cuenta con un mapa de procesos o documentación de sus actividades y dependencias?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Opción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b w:val="0"/>
                <w:sz w:val="19"/>
              </w:rPr>
              <w:t>¿De qué procesos, áreas, sistemas o servicios depende el proceso para operar?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Texto largo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¿Existen procedimientos manuales o alternos para continuar operando durante una contingencia?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Opción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b w:val="0"/>
                <w:sz w:val="19"/>
              </w:rPr>
              <w:t>Describa los procedimientos alternos y sus limitaciones. (Ejemplo: registros manuales, formu...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Texto largo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MTPD: ¿Cuánto tiempo puede estar interrumpido el proceso antes de que los impactos sean inac...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Opción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b w:val="0"/>
                <w:sz w:val="19"/>
              </w:rPr>
              <w:t>MBCO: ¿Qué nivel mínimo de servicio debe mantenerse durante una contingencia? Indique activi...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Texto largo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RTO: ¿En cuánto tiempo debe restablecerse el proceso después de una interrupción?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Opción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b w:val="0"/>
                <w:sz w:val="19"/>
              </w:rPr>
              <w:t>RPO: ¿Cuánta información, medida en tiempo, puede perder el proceso sin consecuencias graves?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Opción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¿Cuánto tarda actualmente Tecnología de la Información en restablecer los sistemas que neces...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Opción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b w:val="0"/>
                <w:sz w:val="19"/>
              </w:rPr>
              <w:t>¿Cada cuánto se respalda la información que utiliza el proceso?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Lista desplegable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¿Qué acciones deben ejecutarse para recuperar el proceso, en qué orden, quién es responsable...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Texto largo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b w:val="0"/>
                <w:sz w:val="19"/>
              </w:rPr>
              <w:t>¿Qué tipos de recursos necesita el proceso durante una contingencia? Puede seleccionar varios.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Varias respuestas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Detalle cada recurso seleccionado: tipo, cantidad y tiempo máximo para disponer de él. (Ejem...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Texto largo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b w:val="0"/>
                <w:sz w:val="19"/>
              </w:rPr>
              <w:t>¿El proceso depende de proveedores críticos?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Opción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Para cada proveedor crítico indique: nombre, servicio, país, tiempo máximo tolerable sin el ...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Texto largo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6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b w:val="0"/>
                <w:sz w:val="19"/>
              </w:rPr>
              <w:t>En una escala de 1 a 5, ¿qué tan preparado está el proceso para enfrentar una interrupción? ...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Calificación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¿Confirma que la información refleja las condiciones actuales del proceso?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Opción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19"/>
              </w:rPr>
              <w:t>Sí</w:t>
            </w:r>
          </w:p>
        </w:tc>
      </w:tr>
    </w:tbl>
    <w:p>
      <w:pPr>
        <w:pStyle w:val="Heading1"/>
      </w:pPr>
      <w:r>
        <w:rPr>
          <w:color w:val="1F3864"/>
        </w:rPr>
        <w:t>5. Escala de severidad sugerida (validar antes de usar)</w:t>
      </w:r>
    </w:p>
    <w:p>
      <w:r>
        <w:t>Forms no muestra definiciones junto a la escala. Si desea que todos los entrevistados interpreten igual los niveles, puede agregar esta referencia en la descripción de la Sección 2, una vez validada por el Departamento de Administración de Riesgos: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7937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Muy alto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Afectación grave y generalizada; compromete la operación, el cumplimiento o la reputación de la Cooperativa.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b w:val="0"/>
                <w:sz w:val="19"/>
              </w:rPr>
              <w:t>Alto</w:t>
            </w:r>
          </w:p>
        </w:tc>
        <w:tc>
          <w:tcPr>
            <w:tcW w:type="dxa" w:w="7937"/>
            <w:shd w:val="clear" w:color="auto" w:fill="F2F2F2"/>
          </w:tcPr>
          <w:p>
            <w:r/>
            <w:r>
              <w:rPr>
                <w:b w:val="0"/>
                <w:sz w:val="19"/>
              </w:rPr>
              <w:t>Afectación significativa en varias áreas o servicios; requiere atención inmediata de la alta dirección.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Moderado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Afectación notable pero controlable con los recursos del área.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b w:val="0"/>
                <w:sz w:val="19"/>
              </w:rPr>
              <w:t>Bajo</w:t>
            </w:r>
          </w:p>
        </w:tc>
        <w:tc>
          <w:tcPr>
            <w:tcW w:type="dxa" w:w="7937"/>
            <w:shd w:val="clear" w:color="auto" w:fill="F2F2F2"/>
          </w:tcPr>
          <w:p>
            <w:r/>
            <w:r>
              <w:rPr>
                <w:b w:val="0"/>
                <w:sz w:val="19"/>
              </w:rPr>
              <w:t>Afectación menor y localizada; se resuelve en la operación normal.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Muy bajo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Afectación mínima o nula.</w:t>
            </w:r>
          </w:p>
        </w:tc>
      </w:tr>
    </w:tbl>
    <w:p>
      <w:pPr>
        <w:pStyle w:val="Heading1"/>
      </w:pPr>
      <w:r>
        <w:rPr>
          <w:color w:val="1F3864"/>
        </w:rPr>
        <w:t>6. Antes de compartir</w:t>
      </w:r>
    </w:p>
    <w:p>
      <w:r>
        <w:t>☐  Configuración &gt; Solo personas de la organización pueden responder.</w:t>
      </w:r>
    </w:p>
    <w:p>
      <w:r>
        <w:t>☐  Configuración &gt; Registrar nombre, para dejar constancia de quién llenó la entrevista.</w:t>
      </w:r>
    </w:p>
    <w:p>
      <w:r>
        <w:t>☐  Envíe una respuesta de prueba y verifique la ramificación de las preguntas 11 y 22.</w:t>
      </w:r>
    </w:p>
    <w:p>
      <w:r>
        <w:t>☐  Revise que los rangos de tiempo (MTPD, RTO, RPO) no se lean como metas aprobadas.</w:t>
      </w:r>
    </w:p>
    <w:p>
      <w:r>
        <w:t>☐  Elimine la respuesta de prueba en la pestaña Respuestas.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