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Evaluación</w:t>
      </w:r>
      <w:r>
        <w:t xml:space="preserve"> </w:t>
      </w:r>
      <w:r>
        <w:t xml:space="preserve">y</w:t>
      </w:r>
      <w:r>
        <w:t xml:space="preserve"> </w:t>
      </w:r>
      <w:r>
        <w:t xml:space="preserve">segmentación</w:t>
      </w:r>
      <w:r>
        <w:t xml:space="preserve"> </w:t>
      </w:r>
      <w:r>
        <w:t xml:space="preserve">de</w:t>
      </w:r>
      <w:r>
        <w:t xml:space="preserve"> </w:t>
      </w:r>
      <w:r>
        <w:t xml:space="preserve">riesgos</w:t>
      </w:r>
      <w:r>
        <w:t xml:space="preserve"> </w:t>
      </w:r>
      <w:r>
        <w:t xml:space="preserve">de</w:t>
      </w:r>
      <w:r>
        <w:t xml:space="preserve"> </w:t>
      </w:r>
      <w:r>
        <w:t xml:space="preserve">la</w:t>
      </w:r>
      <w:r>
        <w:t xml:space="preserve"> </w:t>
      </w:r>
      <w:r>
        <w:t xml:space="preserve">base</w:t>
      </w:r>
      <w:r>
        <w:t xml:space="preserve"> </w:t>
      </w:r>
      <w:r>
        <w:t xml:space="preserve">pre</w:t>
      </w:r>
      <w:r>
        <w:t xml:space="preserve"> </w:t>
      </w:r>
      <w:r>
        <w:t xml:space="preserve">evaluada</w:t>
      </w:r>
      <w:r>
        <w:t xml:space="preserve"> </w:t>
      </w:r>
      <w:r>
        <w:t xml:space="preserve">de</w:t>
      </w:r>
      <w:r>
        <w:t xml:space="preserve"> </w:t>
      </w:r>
      <w:r>
        <w:t xml:space="preserve">crédito</w:t>
      </w:r>
    </w:p>
    <w:p>
      <w:pPr>
        <w:pStyle w:val="Subtitle"/>
      </w:pPr>
      <w:r>
        <w:t xml:space="preserve">Hipotecario,</w:t>
      </w:r>
      <w:r>
        <w:t xml:space="preserve"> </w:t>
      </w:r>
      <w:r>
        <w:t xml:space="preserve">vehículo</w:t>
      </w:r>
      <w:r>
        <w:t xml:space="preserve"> </w:t>
      </w:r>
      <w:r>
        <w:t xml:space="preserve">y</w:t>
      </w:r>
      <w:r>
        <w:t xml:space="preserve"> </w:t>
      </w:r>
      <w:r>
        <w:t xml:space="preserve">tarjeta</w:t>
      </w:r>
      <w:r>
        <w:t xml:space="preserve"> </w:t>
      </w:r>
      <w:r>
        <w:t xml:space="preserve">de</w:t>
      </w:r>
      <w:r>
        <w:t xml:space="preserve"> </w:t>
      </w:r>
      <w:r>
        <w:t xml:space="preserve">crédito:</w:t>
      </w:r>
      <w:r>
        <w:t xml:space="preserve"> </w:t>
      </w:r>
      <w:r>
        <w:t xml:space="preserve">respuesta</w:t>
      </w:r>
      <w:r>
        <w:t xml:space="preserve"> </w:t>
      </w:r>
      <w:r>
        <w:t xml:space="preserve">al</w:t>
      </w:r>
      <w:r>
        <w:t xml:space="preserve"> </w:t>
      </w:r>
      <w:r>
        <w:t xml:space="preserve">memorando</w:t>
      </w:r>
      <w:r>
        <w:t xml:space="preserve"> </w:t>
      </w:r>
      <w:r>
        <w:t xml:space="preserve">del</w:t>
      </w:r>
      <w:r>
        <w:t xml:space="preserve"> </w:t>
      </w:r>
      <w:r>
        <w:t xml:space="preserve">27/10/2026</w:t>
      </w:r>
    </w:p>
    <w:p>
      <w:pPr>
        <w:pStyle w:val="BlockText"/>
      </w:pPr>
      <w:r>
        <w:rPr>
          <w:bCs/>
          <w:b/>
        </w:rPr>
        <w:t xml:space="preserve">Estado del documento:</w:t>
      </w:r>
      <w:r>
        <w:t xml:space="preserve"> </w:t>
      </w:r>
      <w:r>
        <w:t xml:space="preserve">propuesta técnica para el área de Riesgos. Ningún rango, nivel o parámetro de este informe está aprobado. Los umbrales son</w:t>
      </w:r>
      <w:r>
        <w:t xml:space="preserve"> </w:t>
      </w:r>
      <w:r>
        <w:rPr>
          <w:bCs/>
          <w:b/>
        </w:rPr>
        <w:t xml:space="preserve">estadísticos</w:t>
      </w:r>
      <w:r>
        <w:t xml:space="preserve">, salen de esta base y</w:t>
      </w:r>
      <w:r>
        <w:t xml:space="preserve"> </w:t>
      </w:r>
      <w:r>
        <w:rPr>
          <w:bCs/>
          <w:b/>
        </w:rPr>
        <w:t xml:space="preserve">no son límites regulatorios</w:t>
      </w:r>
      <w:r>
        <w:t xml:space="preserve">. La segmentación es descriptiva y no sustituye la decisión crediticia.</w:t>
      </w:r>
    </w:p>
    <w:p>
      <w:pPr>
        <w:pStyle w:val="FirstParagraph"/>
      </w:pPr>
      <w:r>
        <w:t xml:space="preserve">Archivos analizados (solo los de esta ejecución):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Memorando:</w:t>
      </w:r>
      <w:r>
        <w:t xml:space="preserve"> </w:t>
      </w:r>
      <w:r>
        <w:t xml:space="preserve">“</w:t>
      </w:r>
      <w:r>
        <w:t xml:space="preserve">Validación de base pre evaluada de Crédito Hipotecario, vehículo y Tarjeta de Crédito</w:t>
      </w:r>
      <w:r>
        <w:t xml:space="preserve">”</w:t>
      </w:r>
      <w:r>
        <w:t xml:space="preserve">. Fecha 27/10/2026. Lo dirigen Créditos, Comercial TC y Mercadeo al Jefe de Riesgos.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Base:</w:t>
      </w:r>
      <w:r>
        <w:t xml:space="preserve"> </w:t>
      </w:r>
      <w:r>
        <w:rPr>
          <w:rStyle w:val="VerbatimChar"/>
        </w:rPr>
        <w:t xml:space="preserve">Base_de_Asociados_pre_evaluada_creditos_y_tc_para_analisis_de_Riesgos.xlsx</w:t>
      </w:r>
      <w:r>
        <w:t xml:space="preserve">, hoja</w:t>
      </w:r>
      <w:r>
        <w:t xml:space="preserve"> </w:t>
      </w:r>
      <w:r>
        <w:rPr>
          <w:rStyle w:val="VerbatimChar"/>
        </w:rPr>
        <w:t xml:space="preserve">BD FINAL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Libro de trabajo entregado:</w:t>
      </w:r>
      <w:r>
        <w:t xml:space="preserve"> </w:t>
      </w:r>
      <w:r>
        <w:rPr>
          <w:rStyle w:val="VerbatimChar"/>
        </w:rPr>
        <w:t xml:space="preserve">Segmentacion_Riesgos_Base_PreEvaluada.xlsx</w:t>
      </w:r>
      <w:r>
        <w:t xml:space="preserve">. Contiene 143,869 fórmulas y 0 errores. Cada número de este informe sale de ese libro.</w:t>
      </w:r>
    </w:p>
    <w:p>
      <w:r>
        <w:pict>
          <v:rect style="width:0;height:1.5pt" o:hralign="center" o:hrstd="t" o:hr="t"/>
        </w:pict>
      </w:r>
    </w:p>
    <w:bookmarkStart w:id="23" w:name="X9e9a3f82be404e10420bbac0dfde083f06ce4b3"/>
    <w:p>
      <w:pPr>
        <w:pStyle w:val="Heading1"/>
      </w:pPr>
      <w:r>
        <w:t xml:space="preserve">1. Respuesta directa: ¿la base aplica con las condiciones del memorando?</w:t>
      </w:r>
    </w:p>
    <w:p>
      <w:pPr>
        <w:pStyle w:val="FirstParagraph"/>
      </w:pPr>
      <w:r>
        <w:rPr>
          <w:bCs/>
          <w:b/>
        </w:rPr>
        <w:t xml:space="preserve">No en su totalidad.</w:t>
      </w:r>
      <w:r>
        <w:t xml:space="preserve"> </w:t>
      </w:r>
      <w:r>
        <w:t xml:space="preserve">Con los datos del archivo,</w:t>
      </w:r>
      <w:r>
        <w:t xml:space="preserve"> </w:t>
      </w:r>
      <w:r>
        <w:rPr>
          <w:bCs/>
          <w:b/>
        </w:rPr>
        <w:t xml:space="preserve">528 de 2,262 asociados (23.3%) cumplen a la vez todas las condiciones que se pueden verificar</w:t>
      </w:r>
      <w:r>
        <w:t xml:space="preserve">. Del resto:</w:t>
      </w:r>
    </w:p>
    <w:p>
      <w:pPr>
        <w:numPr>
          <w:ilvl w:val="0"/>
          <w:numId w:val="1002"/>
        </w:numPr>
        <w:pStyle w:val="Compact"/>
      </w:pPr>
      <w:r>
        <w:t xml:space="preserve">1,536 (67.9%) tienen información incompleta.</w:t>
      </w:r>
    </w:p>
    <w:p>
      <w:pPr>
        <w:numPr>
          <w:ilvl w:val="0"/>
          <w:numId w:val="1002"/>
        </w:numPr>
        <w:pStyle w:val="Compact"/>
      </w:pPr>
      <w:r>
        <w:t xml:space="preserve">198 (8.8%) incumplen al menos un criterio.</w:t>
      </w:r>
    </w:p>
    <w:p>
      <w:pPr>
        <w:pStyle w:val="FirstParagraph"/>
      </w:pPr>
      <w:r>
        <w:t xml:space="preserve">Cuatro condiciones del memorando</w:t>
      </w:r>
      <w:r>
        <w:t xml:space="preserve"> </w:t>
      </w:r>
      <w:r>
        <w:rPr>
          <w:bCs/>
          <w:b/>
        </w:rPr>
        <w:t xml:space="preserve">no se pueden verificar</w:t>
      </w:r>
      <w:r>
        <w:t xml:space="preserve"> </w:t>
      </w:r>
      <w:r>
        <w:t xml:space="preserve">con la base porque el archivo no tiene esos datos:</w:t>
      </w:r>
    </w:p>
    <w:p>
      <w:pPr>
        <w:numPr>
          <w:ilvl w:val="0"/>
          <w:numId w:val="1003"/>
        </w:numPr>
        <w:pStyle w:val="Compact"/>
      </w:pPr>
      <w:r>
        <w:t xml:space="preserve">lista negra;</w:t>
      </w:r>
    </w:p>
    <w:p>
      <w:pPr>
        <w:numPr>
          <w:ilvl w:val="0"/>
          <w:numId w:val="1003"/>
        </w:numPr>
        <w:pStyle w:val="Compact"/>
      </w:pPr>
      <w:r>
        <w:t xml:space="preserve">créditos castigados;</w:t>
      </w:r>
    </w:p>
    <w:p>
      <w:pPr>
        <w:numPr>
          <w:ilvl w:val="0"/>
          <w:numId w:val="1003"/>
        </w:numPr>
        <w:pStyle w:val="Compact"/>
      </w:pPr>
      <w:r>
        <w:t xml:space="preserve">personas relacionadas o empleados;</w:t>
      </w:r>
    </w:p>
    <w:p>
      <w:pPr>
        <w:numPr>
          <w:ilvl w:val="0"/>
          <w:numId w:val="1003"/>
        </w:numPr>
        <w:pStyle w:val="Compact"/>
      </w:pPr>
      <w:r>
        <w:t xml:space="preserve">solvencia en Hacienda.</w:t>
      </w:r>
    </w:p>
    <w:bookmarkStart w:id="20" w:name="X93d5e240e6a6b7d3ee2c74a44ed0b0bad37ada7"/>
    <w:p>
      <w:pPr>
        <w:pStyle w:val="Heading2"/>
      </w:pPr>
      <w:r>
        <w:t xml:space="preserve">1.1 Criterios de la base depurada (memorando, criterios 1 a 8)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31"/>
        <w:gridCol w:w="1131"/>
        <w:gridCol w:w="1508"/>
        <w:gridCol w:w="1508"/>
        <w:gridCol w:w="1508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Criterio del memorando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Cumplen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 cumplen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Sin dato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¿Aplica?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Poseen ingresos en sistema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135 (ingreso = $0)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1,283 (vacío)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No.</w:t>
            </w:r>
            <w:r>
              <w:t xml:space="preserve"> </w:t>
            </w:r>
            <w:r>
              <w:t xml:space="preserve">Es el criterio más incumplido: 62.7% sin ingreso válido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Poseen fondos compensatorios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2,207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 (fondo = $0)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</w:t>
            </w:r>
            <w:r>
              <w:t xml:space="preserve"> </w:t>
            </w:r>
            <w:r>
              <w:t xml:space="preserve">en 55 registros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poseen tarjeta de crédito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1,296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</w:t>
            </w:r>
            <w:r>
              <w:t xml:space="preserve"> </w:t>
            </w:r>
            <w:r>
              <w:t xml:space="preserve">para la base completa.</w:t>
            </w:r>
            <w:r>
              <w:t xml:space="preserve"> </w:t>
            </w:r>
            <w:r>
              <w:rPr>
                <w:bCs/>
                <w:b/>
              </w:rPr>
              <w:t xml:space="preserve">Sí</w:t>
            </w:r>
            <w:r>
              <w:t xml:space="preserve"> </w:t>
            </w:r>
            <w:r>
              <w:t xml:space="preserve">para el producto TC: ningún tarjetahabiente tiene monto de TC; los 966 solo tienen hipotecario o vehículo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Antigüedad como asociado</w:t>
            </w:r>
            <w:r>
              <w:t xml:space="preserve"> </w:t>
            </w:r>
            <w:r>
              <w:t xml:space="preserve">“</w:t>
            </w:r>
            <w:r>
              <w:t xml:space="preserve">0 meses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1,416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846 (843 vacíos + 3 imposibles)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verificable en 846. La redacción es ambigua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Categoría A1 y A2 interna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1,378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884 (sin categoría)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Nadie fuera de A1/A2. Falta definir cómo tratar a quien no tiene historial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Categoría A1 y A2 externa (SSF)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1,824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Nadie fuera de A1/A2. Faltan 342 sin registro SSF y 96 con la calificación en blanco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Edad de 30 a 55 años cumplidos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2,254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</w:t>
            </w:r>
            <w:r>
              <w:t xml:space="preserve"> </w:t>
            </w:r>
            <w:r>
              <w:t xml:space="preserve">en 8. Al corte del 30/09/2026 ya tenían 56 años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 personas relacionadas ni empleados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 verificable:</w:t>
            </w:r>
            <w:r>
              <w:t xml:space="preserve"> </w:t>
            </w:r>
            <w:r>
              <w:t xml:space="preserve">la base no tiene ese campo</w:t>
            </w:r>
          </w:p>
        </w:tc>
      </w:tr>
    </w:tbl>
    <w:p>
      <w:pPr>
        <w:pStyle w:val="BodyText"/>
      </w:pPr>
      <w:r>
        <w:rPr>
          <w:bCs/>
          <w:b/>
        </w:rPr>
        <w:t xml:space="preserve">Hallazgo sobre la edad.</w:t>
      </w:r>
      <w:r>
        <w:t xml:space="preserve"> </w:t>
      </w:r>
      <w:r>
        <w:t xml:space="preserve">La columna</w:t>
      </w:r>
      <w:r>
        <w:t xml:space="preserve"> </w:t>
      </w:r>
      <w:r>
        <w:rPr>
          <w:rStyle w:val="VerbatimChar"/>
        </w:rPr>
        <w:t xml:space="preserve">EDAD</w:t>
      </w:r>
      <w:r>
        <w:t xml:space="preserve"> </w:t>
      </w:r>
      <w:r>
        <w:t xml:space="preserve">coincide con la fecha de nacimiento si se calcula al</w:t>
      </w:r>
      <w:r>
        <w:t xml:space="preserve"> </w:t>
      </w:r>
      <w:r>
        <w:rPr>
          <w:bCs/>
          <w:b/>
        </w:rPr>
        <w:t xml:space="preserve">02/09/2026</w:t>
      </w:r>
      <w:r>
        <w:t xml:space="preserve"> </w:t>
      </w:r>
      <w:r>
        <w:t xml:space="preserve">(2,250 de 2,262 casos), no al corte del memorando (30/09/2026). La base tiene vigencia de 3 meses, así que más asociados pasarán de 55 años antes de que venza.</w:t>
      </w:r>
    </w:p>
    <w:bookmarkEnd w:id="20"/>
    <w:bookmarkStart w:id="21" w:name="otros-criterios-del-memorando"/>
    <w:p>
      <w:pPr>
        <w:pStyle w:val="Heading2"/>
      </w:pPr>
      <w:r>
        <w:t xml:space="preserve">1.2 Otros criterios del memorando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 que dice el memorando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 que muestra la 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¿Se confirma?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Los límites se asignaron según ingresos y fondos compensatorios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 tablas de TC, vehículo e hipotecario solo se reproducen con</w:t>
            </w:r>
            <w:r>
              <w:t xml:space="preserve"> </w:t>
            </w:r>
            <w:r>
              <w:rPr>
                <w:rStyle w:val="VerbatimChar"/>
              </w:rPr>
              <w:t xml:space="preserve">INGRESO</w:t>
            </w:r>
            <w:r>
              <w:t xml:space="preserve">.</w:t>
            </w:r>
            <w:r>
              <w:t xml:space="preserve"> </w:t>
            </w:r>
            <w:r>
              <w:rPr>
                <w:bCs/>
                <w:b/>
              </w:rPr>
              <w:t xml:space="preserve">1,418 asociados con monto pre evaluado no tienen ingreso válido.</w:t>
            </w:r>
            <w:r>
              <w:t xml:space="preserve"> </w:t>
            </w:r>
            <w:r>
              <w:t xml:space="preserve">En ellos, el fondo tampoco explica el monto: solo 93 de 743 en vehículo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Parcial.</w:t>
            </w:r>
            <w:r>
              <w:t xml:space="preserve"> </w:t>
            </w:r>
            <w:r>
              <w:t xml:space="preserve">El ingreso que se usó para asignar los límites no está en el archivo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 excluyó a quienes están en lista negra o tienen créditos castigados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hay columna para verificarlo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 verificable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Hay 61 registros sin deuda en la SSF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342 sin registro SSF y 169 con saldo ≤ $0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 coincide.</w:t>
            </w:r>
            <w:r>
              <w:t xml:space="preserve"> </w:t>
            </w:r>
            <w:r>
              <w:t xml:space="preserve">Ninguna definición razonable da 61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Hay 54 asociados que no están al día en aportaciones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Hay</w:t>
            </w:r>
            <w:r>
              <w:t xml:space="preserve"> </w:t>
            </w:r>
            <w:r>
              <w:rPr>
                <w:bCs/>
                <w:b/>
              </w:rPr>
              <w:t xml:space="preserve">186</w:t>
            </w:r>
            <w:r>
              <w:t xml:space="preserve"> </w:t>
            </w:r>
            <w:r>
              <w:t xml:space="preserve">que no están al día. 54 de ellos tienen monto de TC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Coincide solo para TC.</w:t>
            </w:r>
            <w:r>
              <w:t xml:space="preserve"> </w:t>
            </w:r>
            <w:r>
              <w:rPr>
                <w:bCs/>
                <w:b/>
              </w:rPr>
              <w:t xml:space="preserve">132</w:t>
            </w:r>
            <w:r>
              <w:t xml:space="preserve"> </w:t>
            </w:r>
            <w:r>
              <w:t xml:space="preserve">(hipotecario y vehículo) no se mencionan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 &gt; $4,000 sin solvencia en Hacienda → límite de $4,000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298 asociados con límite &gt; $4,000. Con el tope, la exposición en TC baja de $3,986,500 a $3,305,000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Regla aplicable. La solvencia no está en la base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Hipotecario &gt; $30,000 → verificar solvencia en Hacienda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monto mínimo es $110,000, así que aplica a los</w:t>
            </w:r>
            <w:r>
              <w:t xml:space="preserve"> </w:t>
            </w:r>
            <w:r>
              <w:rPr>
                <w:bCs/>
                <w:b/>
              </w:rPr>
              <w:t xml:space="preserve">679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Todos requieren verificación externa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Vigencia de 3 meses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hay fecha de aprobación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verificable</w:t>
            </w:r>
          </w:p>
        </w:tc>
      </w:tr>
    </w:tbl>
    <w:bookmarkEnd w:id="21"/>
    <w:bookmarkStart w:id="22" w:name="X2f959062438774f398a8f446203848bbcb881d1"/>
    <w:p>
      <w:pPr>
        <w:pStyle w:val="Heading2"/>
      </w:pPr>
      <w:r>
        <w:t xml:space="preserve">1.3 Consolidado por producto: memorando vs base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Producto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Memorando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Tarjeta de crédito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1,249 / $3,986,500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1,249 / $3,986,500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Concilia en los 10 tramos de límite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Vehículo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1,340 / $34,185,000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1,341 / $34,335,000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 concilia:</w:t>
            </w:r>
            <w:r>
              <w:t xml:space="preserve"> </w:t>
            </w:r>
            <w:r>
              <w:t xml:space="preserve">el asociado 20403 tiene $150,000. Ese monto no existe en la tabla (máximo $40,000) y no aparece en el memorando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Hipotecario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679 / $89,950,000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679 / $89,950,000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Concilia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Registros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2,263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2,262</w:t>
            </w:r>
            <w:r>
              <w:t xml:space="preserve"> </w:t>
            </w:r>
            <w:r>
              <w:t xml:space="preserve">asociados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Diferencia de 1: 2,263 son las filas del archivo contando el encabezado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End w:id="23"/>
    <w:bookmarkStart w:id="24" w:name="diagnóstico-ejecutivo-de-la-base"/>
    <w:p>
      <w:pPr>
        <w:pStyle w:val="Heading1"/>
      </w:pPr>
      <w:r>
        <w:t xml:space="preserve">2. Diagnóstico ejecutivo de la base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Aspecto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Registros y columnas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2,262 asociados y 31 columnas con encabezado. Hay además 4 columnas sin encabezado, con 3 valores de prueba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Identificadores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ASOCIADO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rPr>
                <w:rStyle w:val="VerbatimChar"/>
              </w:rPr>
              <w:t xml:space="preserve">DUI</w:t>
            </w:r>
            <w:r>
              <w:t xml:space="preserve"> </w:t>
            </w:r>
            <w:r>
              <w:t xml:space="preserve">sin duplicados:</w:t>
            </w:r>
            <w:r>
              <w:t xml:space="preserve"> </w:t>
            </w:r>
            <w:r>
              <w:rPr>
                <w:bCs/>
                <w:b/>
              </w:rPr>
              <w:t xml:space="preserve">un registro por asociado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Datos de formato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DUI con longitud distinta de 9.</w:t>
            </w:r>
            <w:r>
              <w:t xml:space="preserve"> </w:t>
            </w:r>
            <w:r>
              <w:rPr>
                <w:rStyle w:val="VerbatimChar"/>
              </w:rPr>
              <w:t xml:space="preserve">CONCATENADO</w:t>
            </w:r>
            <w:r>
              <w:t xml:space="preserve"> </w:t>
            </w:r>
            <w:r>
              <w:t xml:space="preserve">está vacía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Ingreso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56.7% vacío y 6.0% en $0. Solo 844 asociados (37.3%) tienen ingreso &gt;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Antigüedad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37.3% vacía. Hay 3 valores imposibles: −3992, −1 y 1776 años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Central de Riesgo (SSF)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 saldo y</w:t>
            </w:r>
            <w:r>
              <w:t xml:space="preserve"> </w:t>
            </w:r>
            <w:r>
              <w:rPr>
                <w:bCs/>
                <w:b/>
              </w:rPr>
              <w:t xml:space="preserve">una sola institución</w:t>
            </w:r>
            <w:r>
              <w:t xml:space="preserve"> </w:t>
            </w:r>
            <w:r>
              <w:t xml:space="preserve">por asociado. 342 sin registro, 166 con saldo $0 y 3 con saldo negativo mínimo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Cuotas mensuales de préstamos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 existen en la base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Registros eliminados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Ninguno.</w:t>
            </w:r>
            <w:r>
              <w:t xml:space="preserve"> </w:t>
            </w:r>
            <w:r>
              <w:t xml:space="preserve">Las columnas originales se conservan intactas</w:t>
            </w:r>
          </w:p>
        </w:tc>
      </w:tr>
    </w:tbl>
    <w:p>
      <w:pPr>
        <w:pStyle w:val="BodyText"/>
      </w:pPr>
      <w:r>
        <w:rPr>
          <w:bCs/>
          <w:b/>
        </w:rPr>
        <w:t xml:space="preserve">Conclusión del diagnóstico.</w:t>
      </w:r>
      <w:r>
        <w:t xml:space="preserve"> </w:t>
      </w:r>
      <w:r>
        <w:t xml:space="preserve">La base sirve para segmentar por fondo, antigüedad, categoría y deuda SSF.</w:t>
      </w:r>
      <w:r>
        <w:t xml:space="preserve"> </w:t>
      </w:r>
      <w:r>
        <w:rPr>
          <w:bCs/>
          <w:b/>
        </w:rPr>
        <w:t xml:space="preserve">No permite medir la capacidad de pago de la mayoría de asociados</w:t>
      </w:r>
      <w:r>
        <w:t xml:space="preserve">, porque el ingreso falta en 62.7% de los casos y ninguna obligación trae su cuota mensual.</w:t>
      </w:r>
    </w:p>
    <w:p>
      <w:r>
        <w:pict>
          <v:rect style="width:0;height:1.5pt" o:hralign="center" o:hrstd="t" o:hr="t"/>
        </w:pict>
      </w:r>
    </w:p>
    <w:bookmarkEnd w:id="24"/>
    <w:bookmarkStart w:id="33" w:name="X7cbb798feae4fe6b6edb9091252e11996b0f41d"/>
    <w:p>
      <w:pPr>
        <w:pStyle w:val="Heading1"/>
      </w:pPr>
      <w:r>
        <w:t xml:space="preserve">3. Rangos y niveles propuestos (pendientes de validación)</w:t>
      </w:r>
    </w:p>
    <w:p>
      <w:pPr>
        <w:pStyle w:val="FirstParagraph"/>
      </w:pPr>
      <w:r>
        <w:t xml:space="preserve">Cada límite inferior está incluido en su rango. Los porcentajes se calculan sobre los 2,262 asociados.</w:t>
      </w:r>
    </w:p>
    <w:p>
      <w:pPr>
        <w:pStyle w:val="BodyText"/>
      </w:pPr>
      <w:r>
        <w:t xml:space="preserve">La hoja</w:t>
      </w:r>
      <w:r>
        <w:t xml:space="preserve"> </w:t>
      </w:r>
      <w:r>
        <w:rPr>
          <w:rStyle w:val="VerbatimChar"/>
          <w:bCs/>
          <w:b/>
        </w:rPr>
        <w:t xml:space="preserve">Variables_Rangos</w:t>
      </w:r>
      <w:r>
        <w:t xml:space="preserve"> </w:t>
      </w:r>
      <w:r>
        <w:t xml:space="preserve">del libro presenta todas las variables con el mismo formato de la hoja</w:t>
      </w:r>
      <w:r>
        <w:t xml:space="preserve"> </w:t>
      </w:r>
      <w:r>
        <w:t xml:space="preserve">“</w:t>
      </w:r>
      <w:r>
        <w:t xml:space="preserve">Variables</w:t>
      </w:r>
      <w:r>
        <w:t xml:space="preserve">”</w:t>
      </w:r>
      <w:r>
        <w:t xml:space="preserve"> </w:t>
      </w:r>
      <w:r>
        <w:t xml:space="preserve">del archivo (rango → nivel). El nivel de cada asociado está en</w:t>
      </w:r>
      <w:r>
        <w:t xml:space="preserve"> </w:t>
      </w:r>
      <w:r>
        <w:rPr>
          <w:rStyle w:val="VerbatimChar"/>
        </w:rPr>
        <w:t xml:space="preserve">BD_CLASIFICADA</w:t>
      </w:r>
      <w:r>
        <w:t xml:space="preserve">, en las columnas</w:t>
      </w:r>
      <w:r>
        <w:t xml:space="preserve"> </w:t>
      </w:r>
      <w:r>
        <w:rPr>
          <w:rStyle w:val="VerbatimChar"/>
        </w:rPr>
        <w:t xml:space="preserve">NIVEL_ANTIGUEDAD</w:t>
      </w:r>
      <w:r>
        <w:t xml:space="preserve">,</w:t>
      </w:r>
      <w:r>
        <w:t xml:space="preserve"> </w:t>
      </w:r>
      <w:r>
        <w:rPr>
          <w:rStyle w:val="VerbatimChar"/>
        </w:rPr>
        <w:t xml:space="preserve">NIVEL_INGRESO</w:t>
      </w:r>
      <w:r>
        <w:t xml:space="preserve">,</w:t>
      </w:r>
      <w:r>
        <w:t xml:space="preserve"> </w:t>
      </w:r>
      <w:r>
        <w:rPr>
          <w:rStyle w:val="VerbatimChar"/>
        </w:rPr>
        <w:t xml:space="preserve">NIVEL_DEUDA</w:t>
      </w:r>
      <w:r>
        <w:t xml:space="preserve">,</w:t>
      </w:r>
      <w:r>
        <w:t xml:space="preserve"> </w:t>
      </w:r>
      <w:r>
        <w:rPr>
          <w:rStyle w:val="VerbatimChar"/>
        </w:rPr>
        <w:t xml:space="preserve">NIVEL_DEUDA_INGRESO</w:t>
      </w:r>
      <w:r>
        <w:t xml:space="preserve">,</w:t>
      </w:r>
      <w:r>
        <w:t xml:space="preserve"> </w:t>
      </w:r>
      <w:r>
        <w:rPr>
          <w:rStyle w:val="VerbatimChar"/>
        </w:rPr>
        <w:t xml:space="preserve">NIVEL_RESPALDO_FONDO</w:t>
      </w:r>
      <w:r>
        <w:t xml:space="preserve">,</w:t>
      </w:r>
      <w:r>
        <w:t xml:space="preserve"> </w:t>
      </w:r>
      <w:r>
        <w:rPr>
          <w:rStyle w:val="VerbatimChar"/>
        </w:rPr>
        <w:t xml:space="preserve">NIVEL_COBERTURA_FONDO</w:t>
      </w:r>
      <w:r>
        <w:t xml:space="preserve">,</w:t>
      </w:r>
      <w:r>
        <w:t xml:space="preserve"> </w:t>
      </w:r>
      <w:r>
        <w:rPr>
          <w:rStyle w:val="VerbatimChar"/>
        </w:rPr>
        <w:t xml:space="preserve">NIVEL_APORTACIONES</w:t>
      </w:r>
      <w:r>
        <w:t xml:space="preserve">,</w:t>
      </w:r>
      <w:r>
        <w:t xml:space="preserve"> </w:t>
      </w:r>
      <w:r>
        <w:rPr>
          <w:rStyle w:val="VerbatimChar"/>
        </w:rPr>
        <w:t xml:space="preserve">NIVEL_MORA_APORTACIONES</w:t>
      </w:r>
      <w:r>
        <w:t xml:space="preserve">,</w:t>
      </w:r>
      <w:r>
        <w:t xml:space="preserve"> </w:t>
      </w:r>
      <w:r>
        <w:rPr>
          <w:rStyle w:val="VerbatimChar"/>
        </w:rPr>
        <w:t xml:space="preserve">NIVEL_CAT_INTERNA</w:t>
      </w:r>
      <w:r>
        <w:t xml:space="preserve">,</w:t>
      </w:r>
      <w:r>
        <w:t xml:space="preserve"> </w:t>
      </w:r>
      <w:r>
        <w:rPr>
          <w:rStyle w:val="VerbatimChar"/>
        </w:rPr>
        <w:t xml:space="preserve">NIVEL_CAT_EXTERNA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TRAMO_EDAD</w:t>
      </w:r>
      <w:r>
        <w:t xml:space="preserve">.</w:t>
      </w:r>
    </w:p>
    <w:bookmarkStart w:id="25" w:name="X9ef8788694238191d627fd13d26e70b4f3e529c"/>
    <w:p>
      <w:pPr>
        <w:pStyle w:val="Heading2"/>
      </w:pPr>
      <w:r>
        <w:t xml:space="preserve">3.1 Antigüedad como asociado (</w:t>
      </w:r>
      <w:r>
        <w:rPr>
          <w:rStyle w:val="VerbatimChar"/>
        </w:rPr>
        <w:t xml:space="preserve">ANTIGUEDAD_ANIOS</w:t>
      </w:r>
      <w:r>
        <w:t xml:space="preserve">, años completos)</w:t>
      </w:r>
    </w:p>
    <w:p>
      <w:pPr>
        <w:pStyle w:val="FirstParagraph"/>
      </w:pPr>
      <w:r>
        <w:t xml:space="preserve">Los niveles son los solicitados. La antigüedad mide permanencia, no capacidad de pago.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Nivel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Rango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Asociados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a 1 año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a 4 años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9.4%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Bajo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años o más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1,130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50.0%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Sin dato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vacío (no se trata como 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37.3%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Inconsistente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 negativo o mayor que la edad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0.1%</w:t>
            </w:r>
          </w:p>
        </w:tc>
      </w:tr>
    </w:tbl>
    <w:bookmarkEnd w:id="25"/>
    <w:bookmarkStart w:id="26" w:name="ingreso-mensual-ingreso-usd"/>
    <w:p>
      <w:pPr>
        <w:pStyle w:val="Heading2"/>
      </w:pPr>
      <w:r>
        <w:t xml:space="preserve">3.2 Ingreso mensual (</w:t>
      </w:r>
      <w:r>
        <w:rPr>
          <w:rStyle w:val="VerbatimChar"/>
        </w:rPr>
        <w:t xml:space="preserve">INGRESO</w:t>
      </w:r>
      <w:r>
        <w:t xml:space="preserve">, USD)</w:t>
      </w:r>
    </w:p>
    <w:p>
      <w:pPr>
        <w:pStyle w:val="FirstParagraph"/>
      </w:pPr>
      <w:r>
        <w:t xml:space="preserve">Distribución de los ingresos mayores que cero (n = 844):</w:t>
      </w:r>
    </w:p>
    <w:p>
      <w:pPr>
        <w:numPr>
          <w:ilvl w:val="0"/>
          <w:numId w:val="1004"/>
        </w:numPr>
        <w:pStyle w:val="Compact"/>
      </w:pPr>
      <w:r>
        <w:t xml:space="preserve">mínimo $218.90;</w:t>
      </w:r>
    </w:p>
    <w:p>
      <w:pPr>
        <w:numPr>
          <w:ilvl w:val="0"/>
          <w:numId w:val="1004"/>
        </w:numPr>
        <w:pStyle w:val="Compact"/>
      </w:pPr>
      <w:r>
        <w:t xml:space="preserve">P25 $1,484.40;</w:t>
      </w:r>
    </w:p>
    <w:p>
      <w:pPr>
        <w:numPr>
          <w:ilvl w:val="0"/>
          <w:numId w:val="1004"/>
        </w:numPr>
        <w:pStyle w:val="Compact"/>
      </w:pPr>
      <w:r>
        <w:t xml:space="preserve">mediana $2,416.31;</w:t>
      </w:r>
    </w:p>
    <w:p>
      <w:pPr>
        <w:numPr>
          <w:ilvl w:val="0"/>
          <w:numId w:val="1004"/>
        </w:numPr>
        <w:pStyle w:val="Compact"/>
      </w:pPr>
      <w:r>
        <w:t xml:space="preserve">promedio $3,718.49;</w:t>
      </w:r>
    </w:p>
    <w:p>
      <w:pPr>
        <w:numPr>
          <w:ilvl w:val="0"/>
          <w:numId w:val="1004"/>
        </w:numPr>
        <w:pStyle w:val="Compact"/>
      </w:pPr>
      <w:r>
        <w:t xml:space="preserve">P75 $4,156.46;</w:t>
      </w:r>
    </w:p>
    <w:p>
      <w:pPr>
        <w:numPr>
          <w:ilvl w:val="0"/>
          <w:numId w:val="1004"/>
        </w:numPr>
        <w:pStyle w:val="Compact"/>
      </w:pPr>
      <w:r>
        <w:t xml:space="preserve">P90 $6,660.93;</w:t>
      </w:r>
    </w:p>
    <w:p>
      <w:pPr>
        <w:numPr>
          <w:ilvl w:val="0"/>
          <w:numId w:val="1004"/>
        </w:numPr>
        <w:pStyle w:val="Compact"/>
      </w:pPr>
      <w:r>
        <w:t xml:space="preserve">máximo $132,222.90.</w:t>
      </w:r>
    </w:p>
    <w:p>
      <w:pPr>
        <w:pStyle w:val="FirstParagraph"/>
      </w:pPr>
      <w:r>
        <w:t xml:space="preserve">La base no indica si el ingreso es</w:t>
      </w:r>
      <w:r>
        <w:t xml:space="preserve"> </w:t>
      </w:r>
      <w:r>
        <w:rPr>
          <w:bCs/>
          <w:b/>
        </w:rPr>
        <w:t xml:space="preserve">bruto o disponible</w:t>
      </w:r>
      <w:r>
        <w:t xml:space="preserve">. Por eso se trata como ingreso registrado.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990"/>
        <w:gridCol w:w="990"/>
        <w:gridCol w:w="990"/>
        <w:gridCol w:w="1320"/>
        <w:gridCol w:w="1320"/>
        <w:gridCol w:w="1320"/>
        <w:gridCol w:w="99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Rango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Límites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Nivel (capacidad)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Asociados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% total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% con ingreso &gt;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Cómo se fijó el límite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$0.01 – $1,499.99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26.9%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≈ P25; coincide con el corte de RANGOS TC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$1,500 – $2,999.99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28.1%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P25–P60; $3,000 es el mínimo de la tabla de vehículo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III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$3,000 – $4,999.99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Bajo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10.3%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27.7%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P60–P83; tramo de vehículo $20,000 e hipotecario $110,000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$5,000 o más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Muy bajo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P83; tramos superiores de vehículo e hipotecario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Ingreso cero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Revisar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se calcula ninguna razón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Sin dato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vacío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Revisar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1,283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56.7%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se calcula ninguna razón</w:t>
            </w:r>
          </w:p>
        </w:tc>
      </w:tr>
    </w:tbl>
    <w:p>
      <w:pPr>
        <w:pStyle w:val="BodyText"/>
      </w:pPr>
      <w:r>
        <w:t xml:space="preserve">Se propone un cuarto rango porque la distribución tiene una cola larga: P95 = $10,561 y P99 = $21,721. También se marcan</w:t>
      </w:r>
      <w:r>
        <w:t xml:space="preserve"> </w:t>
      </w:r>
      <w:r>
        <w:rPr>
          <w:bCs/>
          <w:b/>
        </w:rPr>
        <w:t xml:space="preserve">29 ingresos atípicos</w:t>
      </w:r>
      <w:r>
        <w:t xml:space="preserve">, los mayores de $12,172.65 (P75 + 3 × rango intercuartílico). Se señalan para verificación y</w:t>
      </w:r>
      <w:r>
        <w:t xml:space="preserve"> </w:t>
      </w:r>
      <w:r>
        <w:rPr>
          <w:bCs/>
          <w:b/>
        </w:rPr>
        <w:t xml:space="preserve">no se excluyen</w:t>
      </w:r>
      <w:r>
        <w:t xml:space="preserve">.</w:t>
      </w:r>
    </w:p>
    <w:bookmarkEnd w:id="26"/>
    <w:bookmarkStart w:id="27" w:name="X91ce479dbd04ac36da13f6d06f2cd6c10b801bf"/>
    <w:p>
      <w:pPr>
        <w:pStyle w:val="Heading2"/>
      </w:pPr>
      <w:r>
        <w:t xml:space="preserve">3.3 Saldo de deuda en la Central de Riesgo (</w:t>
      </w:r>
      <w:r>
        <w:rPr>
          <w:rStyle w:val="VerbatimChar"/>
        </w:rPr>
        <w:t xml:space="preserve">SALDO_SSF</w:t>
      </w:r>
      <w:r>
        <w:t xml:space="preserve">, USD)</w:t>
      </w:r>
    </w:p>
    <w:p>
      <w:pPr>
        <w:pStyle w:val="FirstParagraph"/>
      </w:pPr>
      <w:r>
        <w:t xml:space="preserve">Distribución de los saldos mayores que cero (n = 1,751): P25 $571, mediana $3,334, P75 $19,609, P90 $73,940 y máximo $1,579,063.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697"/>
        <w:gridCol w:w="1697"/>
        <w:gridCol w:w="2262"/>
        <w:gridCol w:w="22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Segmento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Límites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Asociados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D1 Deuda baja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$0.01 – $999.99 (≈ P33)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25.8%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D2 Deuda intermedia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$1,000 – $9,999.99 (P33–P63)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23.7%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D3 Deuda elevada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$10,000 – $49,999.99 (P63–P87)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17.9%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D4 Deuda muy elevada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$50,000 o más (&gt; P87, nivel de saldos hipotecarios)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Sin saldo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saldo $0 o a favor (−$0.02 a −$0.89)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Sin registro SSF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 saldo ni institución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15.1%</w:t>
            </w:r>
          </w:p>
        </w:tc>
      </w:tr>
    </w:tbl>
    <w:p>
      <w:pPr>
        <w:pStyle w:val="BodyText"/>
      </w:pPr>
      <w:r>
        <w:t xml:space="preserve">Cómo leer esta tabla: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“</w:t>
      </w:r>
      <w:r>
        <w:rPr>
          <w:bCs/>
          <w:b/>
        </w:rPr>
        <w:t xml:space="preserve">Sin registro SSF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no equivale a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sin deuda</w:t>
      </w:r>
      <w:r>
        <w:rPr>
          <w:bCs/>
          <w:b/>
        </w:rPr>
        <w:t xml:space="preserve">”</w:t>
      </w:r>
      <w:r>
        <w:rPr>
          <w:bCs/>
          <w:b/>
        </w:rPr>
        <w:t xml:space="preserve">.</w:t>
      </w:r>
      <w:r>
        <w:t xml:space="preserve"> </w:t>
      </w:r>
      <w:r>
        <w:t xml:space="preserve">No se puede distinguir entre un asociado que no tiene deudas y uno que no fue consultado.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Una deuda elevada no implica incumplimiento.</w:t>
      </w:r>
    </w:p>
    <w:p>
      <w:pPr>
        <w:numPr>
          <w:ilvl w:val="0"/>
          <w:numId w:val="1005"/>
        </w:numPr>
        <w:pStyle w:val="Compact"/>
      </w:pPr>
      <w:r>
        <w:t xml:space="preserve">Cada asociado trae una sola institución, así que no se sabe si</w:t>
      </w:r>
      <w:r>
        <w:t xml:space="preserve"> </w:t>
      </w:r>
      <w:r>
        <w:rPr>
          <w:rStyle w:val="VerbatimChar"/>
        </w:rPr>
        <w:t xml:space="preserve">SALDO_SSF</w:t>
      </w:r>
      <w:r>
        <w:t xml:space="preserve"> </w:t>
      </w:r>
      <w:r>
        <w:t xml:space="preserve">es el total consolidado. No se sumó nada para no duplicar saldos.</w:t>
      </w:r>
    </w:p>
    <w:bookmarkEnd w:id="27"/>
    <w:bookmarkStart w:id="28" w:name="X9cb439a33aacbdf1b0ac936cc23f8f5b9e7c4eb"/>
    <w:p>
      <w:pPr>
        <w:pStyle w:val="Heading2"/>
      </w:pPr>
      <w:r>
        <w:t xml:space="preserve">3.4 Cuotas, carga financiera y relación cuota-ingreso</w:t>
      </w:r>
    </w:p>
    <w:p>
      <w:pPr>
        <w:pStyle w:val="FirstParagraph"/>
      </w:pPr>
      <w:r>
        <w:rPr>
          <w:bCs/>
          <w:b/>
        </w:rPr>
        <w:t xml:space="preserve">No disponible en la base.</w:t>
      </w:r>
      <w:r>
        <w:t xml:space="preserve"> </w:t>
      </w:r>
      <w:r>
        <w:rPr>
          <w:rStyle w:val="VerbatimChar"/>
        </w:rPr>
        <w:t xml:space="preserve">CUOTAS_VENC_APORT</w:t>
      </w:r>
      <w:r>
        <w:t xml:space="preserve"> </w:t>
      </w:r>
      <w:r>
        <w:t xml:space="preserve">cuenta cuotas de</w:t>
      </w:r>
      <w:r>
        <w:t xml:space="preserve"> </w:t>
      </w:r>
      <w:r>
        <w:rPr>
          <w:bCs/>
          <w:b/>
        </w:rPr>
        <w:t xml:space="preserve">aportación</w:t>
      </w:r>
      <w:r>
        <w:t xml:space="preserve"> </w:t>
      </w:r>
      <w:r>
        <w:t xml:space="preserve">vencidas, no cuotas de préstamos. Por eso no se calcula la carga financiera mensual ni la relación cuota-ingreso. Tampoco se reemplazan las cuotas por saldos.</w:t>
      </w:r>
    </w:p>
    <w:bookmarkEnd w:id="28"/>
    <w:bookmarkStart w:id="29" w:name="X316f5055a283aba1041d1f0ca72624571f3faab"/>
    <w:p>
      <w:pPr>
        <w:pStyle w:val="Heading2"/>
      </w:pPr>
      <w:r>
        <w:t xml:space="preserve">3.5 Relación deuda-ingreso (saldo SSF ÷ ingreso mensual, en</w:t>
      </w:r>
      <w:r>
        <w:t xml:space="preserve"> </w:t>
      </w:r>
      <w:r>
        <w:rPr>
          <w:bCs/>
          <w:b/>
        </w:rPr>
        <w:t xml:space="preserve">veces</w:t>
      </w:r>
      <w:r>
        <w:t xml:space="preserve"> </w:t>
      </w:r>
      <w:r>
        <w:t xml:space="preserve">el ingreso)</w:t>
      </w:r>
    </w:p>
    <w:p>
      <w:pPr>
        <w:pStyle w:val="FirstParagraph"/>
      </w:pPr>
      <w:r>
        <w:t xml:space="preserve">Este indicador mide el</w:t>
      </w:r>
      <w:r>
        <w:t xml:space="preserve"> </w:t>
      </w:r>
      <w:r>
        <w:rPr>
          <w:bCs/>
          <w:b/>
        </w:rPr>
        <w:t xml:space="preserve">saldo</w:t>
      </w:r>
      <w:r>
        <w:t xml:space="preserve"> </w:t>
      </w:r>
      <w:r>
        <w:t xml:space="preserve">acumulado, no la cuota mensual. Solo se calcula cuando el ingreso es mayor que cero y hay dato SSF (n = 769). Mediana 1.21x, P75 7.88x, P90 20.88x.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Nivel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Rango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Asociados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Sin deuda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R1 Bajo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más de 0 y menos de 3x (≈ P60)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18.6%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R2 Medio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3x a menos de 12x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6.9%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R3 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12x a menos de 24x (1 a 2 años de ingreso)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3.2%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R4 Muy 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24x o más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calculable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ingreso vacío o $0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1,418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62.7%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calculable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 dato SSF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3.3%</w:t>
            </w:r>
          </w:p>
        </w:tc>
      </w:tr>
    </w:tbl>
    <w:bookmarkEnd w:id="29"/>
    <w:bookmarkStart w:id="30" w:name="Xb63476a4194fb94ca72cadf9ef8fb65b4a5999f"/>
    <w:p>
      <w:pPr>
        <w:pStyle w:val="Heading2"/>
      </w:pPr>
      <w:r>
        <w:t xml:space="preserve">3.6 Fondo compensatorio (</w:t>
      </w:r>
      <w:r>
        <w:rPr>
          <w:rStyle w:val="VerbatimChar"/>
        </w:rPr>
        <w:t xml:space="preserve">FONDO_COMPENSATORIO</w:t>
      </w:r>
      <w:r>
        <w:t xml:space="preserve">, USD)</w:t>
      </w:r>
    </w:p>
    <w:p>
      <w:pPr>
        <w:pStyle w:val="FirstParagraph"/>
      </w:pPr>
      <w:r>
        <w:t xml:space="preserve">Distribución de los fondos mayores que cero (n = 2,207): mínimo $1, P25 $2,591, mediana $12,692, P75 $32,205, P90 $69,808 y máximo $1,570,712.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Segmento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Límites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Asociados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Sin fondo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F1 Bajo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$0.01 – $2,999.99 (≈ P28)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26.9%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F2 Medio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$3,000 – $14,999.99 (P28–P53)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24.7%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F3 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$15,000 – $49,999.99 (P53–P85)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31.2%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F4 Muy 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$50,000 o más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14.8%</w:t>
            </w:r>
          </w:p>
        </w:tc>
      </w:tr>
    </w:tbl>
    <w:p>
      <w:pPr>
        <w:pStyle w:val="BodyText"/>
      </w:pPr>
      <w:r>
        <w:rPr>
          <w:bCs/>
          <w:b/>
        </w:rPr>
        <w:t xml:space="preserve">Relación fondo ÷ ingreso</w:t>
      </w:r>
      <w:r>
        <w:t xml:space="preserve">, en meses de ingreso (solo con ingreso &gt; 0):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Nivel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Rango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Asociados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menos de 1 mes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a menos de 6 meses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a menos de 12 meses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meses o más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Sin fondo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</w:t>
            </w:r>
          </w:p>
        </w:tc>
      </w:tr>
    </w:tbl>
    <w:p>
      <w:pPr>
        <w:pStyle w:val="BodyText"/>
      </w:pPr>
      <w:r>
        <w:rPr>
          <w:bCs/>
          <w:b/>
        </w:rPr>
        <w:t xml:space="preserve">Validación del campo (opinión de Riesgo, punto 3):</w:t>
      </w:r>
    </w:p>
    <w:p>
      <w:pPr>
        <w:numPr>
          <w:ilvl w:val="0"/>
          <w:numId w:val="1006"/>
        </w:numPr>
        <w:pStyle w:val="Compact"/>
      </w:pPr>
      <w:r>
        <w:t xml:space="preserve">La base no dice si el fondo está</w:t>
      </w:r>
      <w:r>
        <w:t xml:space="preserve"> </w:t>
      </w:r>
      <w:r>
        <w:rPr>
          <w:bCs/>
          <w:b/>
        </w:rPr>
        <w:t xml:space="preserve">disponible, retenido o pignorado</w:t>
      </w:r>
      <w:r>
        <w:t xml:space="preserve">. Por eso se presenta como respaldo</w:t>
      </w:r>
      <w:r>
        <w:t xml:space="preserve"> </w:t>
      </w:r>
      <w:r>
        <w:rPr>
          <w:bCs/>
          <w:b/>
        </w:rPr>
        <w:t xml:space="preserve">descriptivo</w:t>
      </w:r>
      <w:r>
        <w:t xml:space="preserve"> </w:t>
      </w:r>
      <w:r>
        <w:t xml:space="preserve">y</w:t>
      </w:r>
      <w:r>
        <w:t xml:space="preserve"> </w:t>
      </w:r>
      <w:r>
        <w:rPr>
          <w:bCs/>
          <w:b/>
        </w:rPr>
        <w:t xml:space="preserve">no se le atribuye reducción de riesgo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MONTO_TOTAL_APORTACIONES</w:t>
      </w:r>
      <w:r>
        <w:t xml:space="preserve"> </w:t>
      </w:r>
      <w:r>
        <w:t xml:space="preserve">es un concepto distinto (mediana $1,443). En 312 asociados el fondo es menor que sus aportaciones, lo que confirma que no son la misma cifra.</w:t>
      </w:r>
    </w:p>
    <w:bookmarkEnd w:id="30"/>
    <w:bookmarkStart w:id="31" w:name="otros-criterios-con-rango-y-nivel"/>
    <w:p>
      <w:pPr>
        <w:pStyle w:val="Heading2"/>
      </w:pPr>
      <w:r>
        <w:t xml:space="preserve">3.7 Otros criterios con rango y nivel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Criterio (columna)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Rango → nivel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Asociados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Cuotas de aportación vencidas (</w:t>
            </w:r>
            <w:r>
              <w:rPr>
                <w:rStyle w:val="VerbatimChar"/>
              </w:rPr>
              <w:t xml:space="preserve">CUOTAS_VENC_APORT</w:t>
            </w:r>
            <w:r>
              <w:t xml:space="preserve">),</w:t>
            </w:r>
            <w:r>
              <w:t xml:space="preserve"> </w:t>
            </w:r>
            <w:r>
              <w:rPr>
                <w:bCs/>
                <w:b/>
              </w:rPr>
              <w:t xml:space="preserve">nivel de riesgo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(al día) → Bajo · 1 a 2 → Medio · 3 o más → 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2,076 · 79 · 107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Categoría interna (</w:t>
            </w:r>
            <w:r>
              <w:rPr>
                <w:rStyle w:val="VerbatimChar"/>
              </w:rPr>
              <w:t xml:space="preserve">MAX_CAT_RIESGO</w:t>
            </w:r>
            <w:r>
              <w:t xml:space="preserve">),</w:t>
            </w:r>
            <w:r>
              <w:t xml:space="preserve"> </w:t>
            </w:r>
            <w:r>
              <w:rPr>
                <w:bCs/>
                <w:b/>
              </w:rPr>
              <w:t xml:space="preserve">nivel de riesgo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A1 → Bajo · A2 → Medio · B a E → Alto · sin categoría → Sin información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1,356 · 22 · 0 · 884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Calificación SSF (</w:t>
            </w:r>
            <w:r>
              <w:rPr>
                <w:rStyle w:val="VerbatimChar"/>
              </w:rPr>
              <w:t xml:space="preserve">CALIFICACION_SSF</w:t>
            </w:r>
            <w:r>
              <w:t xml:space="preserve">),</w:t>
            </w:r>
            <w:r>
              <w:t xml:space="preserve"> </w:t>
            </w:r>
            <w:r>
              <w:rPr>
                <w:bCs/>
                <w:b/>
              </w:rPr>
              <w:t xml:space="preserve">nivel de riesgo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A1 → Bajo · A2 → Medio · B a E → Alto · sin calificación → Sin información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1,813 · 11 · 0 · 438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Aportaciones acumuladas (</w:t>
            </w:r>
            <w:r>
              <w:rPr>
                <w:rStyle w:val="VerbatimChar"/>
              </w:rPr>
              <w:t xml:space="preserve">MONTO_TOTAL_APORTACIONES</w:t>
            </w:r>
            <w:r>
              <w:t xml:space="preserve">), nivel de aportación (no es riesgo)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menos de $500 → Bajo · $500 a $1,999.99 → Medio · $2,000 o más → 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446 · 1,201 · 615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Fondo ÷ ingreso, nivel de respaldo (no es riesgo)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menos de 1 mes → Bajo · 1 a menos de 6 → Medio · 6 a menos de 12 → Alto · 12 o más → Muy 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349 · 190 · 86 · 164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Edad al 30/09/2026, tramo descriptivo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30–39 · 40–49 · 50–55 · mayor de 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574 · 876 · 804 · 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Tiene crédito vigente / tiene tarjeta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 / 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823 / 1,439 · 966 / 1,296</w:t>
            </w:r>
          </w:p>
        </w:tc>
      </w:tr>
    </w:tbl>
    <w:p>
      <w:pPr>
        <w:pStyle w:val="BodyText"/>
      </w:pPr>
      <w:r>
        <w:t xml:space="preserve">Por qué algunos criterios no llevan nivel de riesgo: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Edad:</w:t>
      </w:r>
      <w:r>
        <w:t xml:space="preserve"> </w:t>
      </w:r>
      <w:r>
        <w:t xml:space="preserve">se presenta solo como tramo descriptivo. Asignarle un nivel de riesgo requiere una política institucional.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Aportaciones y fondo:</w:t>
      </w:r>
      <w:r>
        <w:t xml:space="preserve"> </w:t>
      </w:r>
      <w:r>
        <w:t xml:space="preserve">indican vínculo y respaldo con la cooperativa. No se les atribuye reducción de riesgo mientras no se valide si están disponibles.</w:t>
      </w:r>
    </w:p>
    <w:p>
      <w:pPr>
        <w:pStyle w:val="FirstParagraph"/>
      </w:pPr>
      <w:r>
        <w:t xml:space="preserve">Cortes usados:</w:t>
      </w:r>
    </w:p>
    <w:p>
      <w:pPr>
        <w:numPr>
          <w:ilvl w:val="0"/>
          <w:numId w:val="1008"/>
        </w:numPr>
        <w:pStyle w:val="Compact"/>
      </w:pPr>
      <w:r>
        <w:t xml:space="preserve">Aportaciones: $500 (≈ P20) y $2,000 (≈ P73).</w:t>
      </w:r>
    </w:p>
    <w:p>
      <w:pPr>
        <w:numPr>
          <w:ilvl w:val="0"/>
          <w:numId w:val="1008"/>
        </w:numPr>
        <w:pStyle w:val="Compact"/>
      </w:pPr>
      <w:r>
        <w:t xml:space="preserve">Cuotas vencidas: 1 cuota (cualquier atraso) y 3 cuotas (un trimestre de atraso).</w:t>
      </w:r>
    </w:p>
    <w:p>
      <w:pPr>
        <w:pStyle w:val="FirstParagraph"/>
      </w:pPr>
      <w:r>
        <w:t xml:space="preserve">Todos estos cortes se pueden editar en la hoja</w:t>
      </w:r>
      <w:r>
        <w:t xml:space="preserve"> </w:t>
      </w:r>
      <w:r>
        <w:rPr>
          <w:rStyle w:val="VerbatimChar"/>
        </w:rPr>
        <w:t xml:space="preserve">Parametros</w:t>
      </w:r>
      <w:r>
        <w:t xml:space="preserve">.</w:t>
      </w:r>
    </w:p>
    <w:bookmarkEnd w:id="31"/>
    <w:bookmarkStart w:id="32" w:name="historial-y-clasificación"/>
    <w:p>
      <w:pPr>
        <w:pStyle w:val="Heading2"/>
      </w:pPr>
      <w:r>
        <w:t xml:space="preserve">3.8 Historial y clasificación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Disponible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Categorías encontradas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Categoría interna (</w:t>
            </w:r>
            <w:r>
              <w:rPr>
                <w:rStyle w:val="VerbatimChar"/>
              </w:rPr>
              <w:t xml:space="preserve">MAX_CAT_RIESGO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A1: 1,356; A2: 22; sin historial (sin crédito vigente): 866; dato faltante con crédito vigente: 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Calificación externa (</w:t>
            </w:r>
            <w:r>
              <w:rPr>
                <w:rStyle w:val="VerbatimChar"/>
              </w:rPr>
              <w:t xml:space="preserve">CALIFICACION_SSF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A1: 1,813; A2: 11; en blanco con saldo: 96; sin registro: 342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Aportaciones al día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SÍ: 2,076; NO: 186. Las cuotas vencidas van de 1 a 172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Tiene crédito vigente / tiene tarjeta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Créditos: SÍ 823. Tarjeta: SÍ 966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Días de mora, castigos, listas, número de obligaciones, historial de pago, solvencia tributaria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 disponible en la 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Requieren consulta a otra fuente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End w:id="33"/>
    <w:bookmarkStart w:id="34" w:name="evaluación-conjunta-y-alertas"/>
    <w:p>
      <w:pPr>
        <w:pStyle w:val="Heading1"/>
      </w:pPr>
      <w:r>
        <w:t xml:space="preserve">4. Evaluación conjunta y alertas</w:t>
      </w:r>
    </w:p>
    <w:p>
      <w:pPr>
        <w:pStyle w:val="FirstParagraph"/>
      </w:pPr>
      <w:r>
        <w:t xml:space="preserve">No se asigna un nivel global ponderado. La base</w:t>
      </w:r>
      <w:r>
        <w:t xml:space="preserve"> </w:t>
      </w:r>
      <w:r>
        <w:rPr>
          <w:bCs/>
          <w:b/>
        </w:rPr>
        <w:t xml:space="preserve">no contiene resultados históricos de pago</w:t>
      </w:r>
      <w:r>
        <w:t xml:space="preserve">, así que no hay forma de estimar ni validar ponderaciones. En su lugar se cuentan alertas por asociado.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376"/>
        <w:gridCol w:w="2376"/>
        <w:gridCol w:w="316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Alerta de riesgo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Definición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Asociados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Fondo bajo con deuda elevada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Fondo $0 o F1, con deuda D3 o D4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Aportaciones vencidas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está al día o tiene cuotas vencidas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Deuda alta frente al ingreso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Relación deuda-ingreso de 12x o más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Ingreso bajo con deuda elevada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Rango de ingreso I con deuda D3 o D4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Categoría A2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A2 interna o externa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Antigüedad baja sin historial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a 1 año y sin categoría interna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394"/>
        <w:gridCol w:w="452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Alerta de calidad de datos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Asociados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Monto pre evaluado sin ingreso válido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1,418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Monto pre evaluado que no coincide con la tabla (por ejemplo, vehículo con ingreso &lt; $3,000)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Dato inconsistente (antigüedad, edad, DUI, ingreso atípico, saldo negativo)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198</w:t>
            </w:r>
          </w:p>
        </w:tc>
      </w:tr>
    </w:tbl>
    <w:p>
      <w:pPr>
        <w:pStyle w:val="BodyText"/>
      </w:pPr>
      <w:r>
        <w:rPr>
          <w:bCs/>
          <w:b/>
        </w:rPr>
        <w:t xml:space="preserve">Estado descriptivo por asociado: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160"/>
        <w:gridCol w:w="2880"/>
        <w:gridCol w:w="28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Asociados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Sin alertas identificadas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23.6%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Sin alertas, pero sin ingreso válido (no se pudo evaluar)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1,258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55.6%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alerta de riesgo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14.9%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o más alertas de riesgo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5.9%</w:t>
            </w:r>
          </w:p>
        </w:tc>
      </w:tr>
    </w:tbl>
    <w:p>
      <w:pPr>
        <w:pStyle w:val="BodyText"/>
      </w:pPr>
      <w:r>
        <w:t xml:space="preserve">Hay que distinguir cuatro niveles de lectura: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Segmentación descriptiva:</w:t>
      </w:r>
      <w:r>
        <w:t xml:space="preserve"> </w:t>
      </w:r>
      <w:r>
        <w:t xml:space="preserve">los rangos de la sección 3.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Alerta de riesgo:</w:t>
      </w:r>
      <w:r>
        <w:t xml:space="preserve"> </w:t>
      </w:r>
      <w:r>
        <w:t xml:space="preserve">las combinaciones de esta sección.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Elegibilidad preliminar:</w:t>
      </w:r>
      <w:r>
        <w:t xml:space="preserve"> </w:t>
      </w:r>
      <w:r>
        <w:t xml:space="preserve">los criterios del memorando (sección 1).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Decisión crediticia:</w:t>
      </w:r>
      <w:r>
        <w:t xml:space="preserve"> </w:t>
      </w:r>
      <w:r>
        <w:t xml:space="preserve">corresponde al Comité, con consultas externas y análisis individual.</w:t>
      </w:r>
    </w:p>
    <w:p>
      <w:r>
        <w:pict>
          <v:rect style="width:0;height:1.5pt" o:hralign="center" o:hrstd="t" o:hr="t"/>
        </w:pict>
      </w:r>
    </w:p>
    <w:bookmarkEnd w:id="34"/>
    <w:bookmarkStart w:id="35" w:name="evaluación-por-producto"/>
    <w:p>
      <w:pPr>
        <w:pStyle w:val="Heading1"/>
      </w:pPr>
      <w:r>
        <w:t xml:space="preserve">5. Evaluación por producto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Indicador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Tarjeta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Vehículo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Hipotecario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Asociados pre evaluados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1,249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1,341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Exposición pre evaluada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$3,986,500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$34,335,000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$89,950,000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Coincide con la tabla según el ingreso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coincide con la tabla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Sin ingreso válido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869 (69.6%)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743 (55.4%)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261 (38.4%)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Mediana monto ÷ ingreso mensual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5.9x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28.1x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Cumplen los criterios verificables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 1 o más alertas de riesgo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179</w:t>
            </w:r>
          </w:p>
        </w:tc>
      </w:tr>
    </w:tbl>
    <w:p>
      <w:pPr>
        <w:pStyle w:val="BodyText"/>
      </w:pPr>
      <w:r>
        <w:t xml:space="preserve">Observaciones por producto: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Tarjeta.</w:t>
      </w:r>
      <w:r>
        <w:t xml:space="preserve"> </w:t>
      </w:r>
      <w:r>
        <w:t xml:space="preserve">La tabla funciona bien cuando hay ingreso. Hay dos diferencias de nombre con la tabla: la base llama</w:t>
      </w:r>
      <w:r>
        <w:t xml:space="preserve"> </w:t>
      </w:r>
      <w:r>
        <w:t xml:space="preserve">“</w:t>
      </w:r>
      <w:r>
        <w:t xml:space="preserve">GOLD</w:t>
      </w:r>
      <w:r>
        <w:t xml:space="preserve">”</w:t>
      </w:r>
      <w:r>
        <w:t xml:space="preserve"> </w:t>
      </w:r>
      <w:r>
        <w:t xml:space="preserve">al segmento que la tabla llama</w:t>
      </w:r>
      <w:r>
        <w:t xml:space="preserve"> </w:t>
      </w:r>
      <w:r>
        <w:t xml:space="preserve">“</w:t>
      </w:r>
      <w:r>
        <w:t xml:space="preserve">DORADA</w:t>
      </w:r>
      <w:r>
        <w:t xml:space="preserve">”</w:t>
      </w:r>
      <w:r>
        <w:t xml:space="preserve">, y rotula como</w:t>
      </w:r>
      <w:r>
        <w:t xml:space="preserve"> </w:t>
      </w:r>
      <w:r>
        <w:t xml:space="preserve">“</w:t>
      </w:r>
      <w:r>
        <w:t xml:space="preserve">CLASICA INTERNACIONAL</w:t>
      </w:r>
      <w:r>
        <w:t xml:space="preserve">”</w:t>
      </w:r>
      <w:r>
        <w:t xml:space="preserve"> </w:t>
      </w:r>
      <w:r>
        <w:t xml:space="preserve">el límite de $500, que la tabla define como</w:t>
      </w:r>
      <w:r>
        <w:t xml:space="preserve"> </w:t>
      </w:r>
      <w:r>
        <w:t xml:space="preserve">“</w:t>
      </w:r>
      <w:r>
        <w:t xml:space="preserve">CLÁSICA LOCAL</w:t>
      </w:r>
      <w:r>
        <w:t xml:space="preserve">”</w:t>
      </w:r>
      <w:r>
        <w:t xml:space="preserve">. Aplica el tope de $4,000 a 298 asociados si no son solventes en Hacienda.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Vehículo.</w:t>
      </w:r>
      <w:r>
        <w:t xml:space="preserve"> </w:t>
      </w:r>
      <w:r>
        <w:t xml:space="preserve">La tabla excluye ingresos menores de $3,000 (</w:t>
      </w:r>
      <w:r>
        <w:t xml:space="preserve">“</w:t>
      </w:r>
      <w:r>
        <w:t xml:space="preserve">NO APLICA</w:t>
      </w:r>
      <w:r>
        <w:t xml:space="preserve">”</w:t>
      </w:r>
      <w:r>
        <w:t xml:space="preserve">), pero</w:t>
      </w:r>
      <w:r>
        <w:t xml:space="preserve"> </w:t>
      </w:r>
      <w:r>
        <w:rPr>
          <w:bCs/>
          <w:b/>
        </w:rPr>
        <w:t xml:space="preserve">219</w:t>
      </w:r>
      <w:r>
        <w:t xml:space="preserve"> </w:t>
      </w:r>
      <w:r>
        <w:t xml:space="preserve">asociados con ingreso menor recibieron monto. Además está el caso de $150,000.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Hipotecario.</w:t>
      </w:r>
      <w:r>
        <w:t xml:space="preserve"> </w:t>
      </w:r>
      <w:r>
        <w:t xml:space="preserve">El archivo</w:t>
      </w:r>
      <w:r>
        <w:t xml:space="preserve"> </w:t>
      </w:r>
      <w:r>
        <w:rPr>
          <w:bCs/>
          <w:b/>
        </w:rPr>
        <w:t xml:space="preserve">no trae tabla</w:t>
      </w:r>
      <w:r>
        <w:t xml:space="preserve">. La regla que se deduce de los datos es: $3,000 → $110,000; $5,000 → $150,000; alrededor de $9,000 → $205,000. Hay que confirmarla. Los 679 requieren solvencia en Hacienda. El monto equivale a una mediana de 28 veces el ingreso mensual, pero sin plazo ni tasa no se puede calcular la cuota.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Otros créditos de consumo.</w:t>
      </w:r>
      <w:r>
        <w:t xml:space="preserve"> </w:t>
      </w:r>
      <w:r>
        <w:t xml:space="preserve">No hay montos en la base, así que no se pueden evaluar.</w:t>
      </w:r>
    </w:p>
    <w:p>
      <w:pPr>
        <w:numPr>
          <w:ilvl w:val="0"/>
          <w:numId w:val="1010"/>
        </w:numPr>
        <w:pStyle w:val="Compact"/>
      </w:pPr>
      <w:r>
        <w:t xml:space="preserve">No se aplican los mismos límites a todos los productos. Para fijar límites por producto se necesitan la cuota, el plazo, la tasa y la garantía.</w:t>
      </w:r>
    </w:p>
    <w:p>
      <w:r>
        <w:pict>
          <v:rect style="width:0;height:1.5pt" o:hralign="center" o:hrstd="t" o:hr="t"/>
        </w:pict>
      </w:r>
    </w:p>
    <w:bookmarkEnd w:id="35"/>
    <w:bookmarkStart w:id="36" w:name="metodología-supuestos-y-restricciones"/>
    <w:p>
      <w:pPr>
        <w:pStyle w:val="Heading1"/>
      </w:pPr>
      <w:r>
        <w:t xml:space="preserve">6. Metodología, supuestos y restricciones</w:t>
      </w:r>
    </w:p>
    <w:p>
      <w:pPr>
        <w:pStyle w:val="FirstParagraph"/>
      </w:pPr>
      <w:r>
        <w:rPr>
          <w:bCs/>
          <w:b/>
        </w:rPr>
        <w:t xml:space="preserve">Fórmulas principales.</w:t>
      </w:r>
      <w:r>
        <w:t xml:space="preserve"> </w:t>
      </w:r>
      <w:r>
        <w:t xml:space="preserve">Todas están documentadas en la hoja</w:t>
      </w:r>
      <w:r>
        <w:t xml:space="preserve"> </w:t>
      </w:r>
      <w:r>
        <w:rPr>
          <w:rStyle w:val="VerbatimChar"/>
        </w:rPr>
        <w:t xml:space="preserve">Metodologia</w:t>
      </w:r>
      <w:r>
        <w:t xml:space="preserve"> </w:t>
      </w:r>
      <w:r>
        <w:t xml:space="preserve">y en los comentarios de cada columna de</w:t>
      </w:r>
      <w:r>
        <w:t xml:space="preserve"> </w:t>
      </w:r>
      <w:r>
        <w:rPr>
          <w:rStyle w:val="VerbatimChar"/>
        </w:rPr>
        <w:t xml:space="preserve">BD_CLASIFICADA</w:t>
      </w:r>
      <w:r>
        <w:t xml:space="preserve">.</w:t>
      </w:r>
    </w:p>
    <w:p>
      <w:pPr>
        <w:numPr>
          <w:ilvl w:val="0"/>
          <w:numId w:val="1011"/>
        </w:numPr>
        <w:pStyle w:val="Compact"/>
      </w:pPr>
      <w:r>
        <w:t xml:space="preserve">Edad al corte = año del corte − año de nacimiento − 1, si todavía no había cumplido años en la fecha de corte.</w:t>
      </w:r>
    </w:p>
    <w:p>
      <w:pPr>
        <w:numPr>
          <w:ilvl w:val="0"/>
          <w:numId w:val="1011"/>
        </w:numPr>
        <w:pStyle w:val="Compact"/>
      </w:pPr>
      <w:r>
        <w:t xml:space="preserve">Relación deuda-ingreso = MAX(SALDO_SSF; 0) ÷ INGRESO, en veces. Solo se calcula si INGRESO &gt; 0.</w:t>
      </w:r>
    </w:p>
    <w:p>
      <w:pPr>
        <w:numPr>
          <w:ilvl w:val="0"/>
          <w:numId w:val="1011"/>
        </w:numPr>
        <w:pStyle w:val="Compact"/>
      </w:pPr>
      <w:r>
        <w:t xml:space="preserve">Fondo ÷ ingreso = FONDO_COMPENSATORIO ÷ INGRESO, en meses de ingreso.</w:t>
      </w:r>
    </w:p>
    <w:p>
      <w:pPr>
        <w:numPr>
          <w:ilvl w:val="0"/>
          <w:numId w:val="1011"/>
        </w:numPr>
        <w:pStyle w:val="Compact"/>
      </w:pPr>
      <w:r>
        <w:t xml:space="preserve">Relación cuota-ingreso = Σ cuotas ÷ INGRESO × 100.</w:t>
      </w:r>
      <w:r>
        <w:t xml:space="preserve"> </w:t>
      </w:r>
      <w:r>
        <w:rPr>
          <w:bCs/>
          <w:b/>
        </w:rPr>
        <w:t xml:space="preserve">No calculada</w:t>
      </w:r>
      <w:r>
        <w:t xml:space="preserve">: no hay cuotas en la base.</w:t>
      </w:r>
    </w:p>
    <w:p>
      <w:pPr>
        <w:numPr>
          <w:ilvl w:val="0"/>
          <w:numId w:val="1011"/>
        </w:numPr>
        <w:pStyle w:val="Compact"/>
      </w:pPr>
      <w:r>
        <w:t xml:space="preserve">Monto esperado por producto = LOOKUP(INGRESO; tabla de la hoja Parametros), que se compara con el monto PRECA de la base.</w:t>
      </w:r>
    </w:p>
    <w:p>
      <w:pPr>
        <w:pStyle w:val="FirstParagraph"/>
      </w:pPr>
      <w:r>
        <w:rPr>
          <w:bCs/>
          <w:b/>
        </w:rPr>
        <w:t xml:space="preserve">Supuestos (pendientes de validación):</w:t>
      </w:r>
    </w:p>
    <w:p>
      <w:pPr>
        <w:numPr>
          <w:ilvl w:val="0"/>
          <w:numId w:val="1012"/>
        </w:numPr>
        <w:pStyle w:val="Compact"/>
      </w:pPr>
      <w:r>
        <w:t xml:space="preserve">La fecha de corte es el 30/09/2026, según el memorando.</w:t>
      </w:r>
    </w:p>
    <w:p>
      <w:pPr>
        <w:numPr>
          <w:ilvl w:val="0"/>
          <w:numId w:val="1012"/>
        </w:numPr>
        <w:pStyle w:val="Compact"/>
      </w:pPr>
      <w:r>
        <w:t xml:space="preserve">El ingreso es mensual y en USD.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SALDO_SSF</w:t>
      </w:r>
      <w:r>
        <w:t xml:space="preserve"> </w:t>
      </w:r>
      <w:r>
        <w:t xml:space="preserve">es el saldo reportado por la Central de Riesgo, sin confirmar que esté consolidado.</w:t>
      </w:r>
    </w:p>
    <w:p>
      <w:pPr>
        <w:numPr>
          <w:ilvl w:val="0"/>
          <w:numId w:val="1012"/>
        </w:numPr>
        <w:pStyle w:val="Compact"/>
      </w:pPr>
      <w:r>
        <w:t xml:space="preserve">“</w:t>
      </w:r>
      <w:r>
        <w:t xml:space="preserve">Antigüedad 0 meses</w:t>
      </w:r>
      <w:r>
        <w:t xml:space="preserve">”</w:t>
      </w:r>
      <w:r>
        <w:t xml:space="preserve"> </w:t>
      </w:r>
      <w:r>
        <w:t xml:space="preserve">se interpreta como</w:t>
      </w:r>
      <w:r>
        <w:t xml:space="preserve"> </w:t>
      </w:r>
      <w:r>
        <w:t xml:space="preserve">“</w:t>
      </w:r>
      <w:r>
        <w:t xml:space="preserve">sin antigüedad mínima</w:t>
      </w:r>
      <w:r>
        <w:t xml:space="preserve">”</w:t>
      </w:r>
      <w:r>
        <w:t xml:space="preserve">.</w:t>
      </w:r>
    </w:p>
    <w:p>
      <w:pPr>
        <w:numPr>
          <w:ilvl w:val="0"/>
          <w:numId w:val="1012"/>
        </w:numPr>
        <w:pStyle w:val="Compact"/>
      </w:pPr>
      <w:r>
        <w:t xml:space="preserve">Las aportaciones no al día no excluyen al asociado; condicionan la TC, como indica el memorando.</w:t>
      </w:r>
    </w:p>
    <w:p>
      <w:pPr>
        <w:numPr>
          <w:ilvl w:val="0"/>
          <w:numId w:val="1012"/>
        </w:numPr>
        <w:pStyle w:val="Compact"/>
      </w:pPr>
      <w:r>
        <w:t xml:space="preserve">La edad mínima de afiliación es 18 años. Solo se usa para una alerta.</w:t>
      </w:r>
    </w:p>
    <w:p>
      <w:pPr>
        <w:pStyle w:val="FirstParagraph"/>
      </w:pPr>
      <w:r>
        <w:rPr>
          <w:bCs/>
          <w:b/>
        </w:rPr>
        <w:t xml:space="preserve">Controles de calidad realizados:</w:t>
      </w:r>
    </w:p>
    <w:p>
      <w:pPr>
        <w:numPr>
          <w:ilvl w:val="0"/>
          <w:numId w:val="1013"/>
        </w:numPr>
        <w:pStyle w:val="Compact"/>
      </w:pPr>
      <w:r>
        <w:t xml:space="preserve">Los registros, las sumas de ingreso, fondo, SSF, aportaciones y montos pre evaluados concilian al 100% entre la base original y la clasificada.</w:t>
      </w:r>
    </w:p>
    <w:p>
      <w:pPr>
        <w:numPr>
          <w:ilvl w:val="0"/>
          <w:numId w:val="1013"/>
        </w:numPr>
        <w:pStyle w:val="Compact"/>
      </w:pPr>
      <w:r>
        <w:t xml:space="preserve">Cada asociado aparece una sola vez en cada variable (control automático en</w:t>
      </w:r>
      <w:r>
        <w:t xml:space="preserve"> </w:t>
      </w:r>
      <w:r>
        <w:rPr>
          <w:rStyle w:val="VerbatimChar"/>
        </w:rPr>
        <w:t xml:space="preserve">Consolidado</w:t>
      </w:r>
      <w:r>
        <w:t xml:space="preserve">).</w:t>
      </w:r>
    </w:p>
    <w:p>
      <w:pPr>
        <w:numPr>
          <w:ilvl w:val="0"/>
          <w:numId w:val="1013"/>
        </w:numPr>
        <w:pStyle w:val="Compact"/>
      </w:pPr>
      <w:r>
        <w:t xml:space="preserve">Cada regla de clasificación se reprodujo de forma independiente en Python sobre los 2,262 registros:</w:t>
      </w:r>
      <w:r>
        <w:t xml:space="preserve"> </w:t>
      </w:r>
      <w:r>
        <w:rPr>
          <w:bCs/>
          <w:b/>
        </w:rPr>
        <w:t xml:space="preserve">0 diferencias</w:t>
      </w:r>
      <w:r>
        <w:t xml:space="preserve"> </w:t>
      </w:r>
      <w:r>
        <w:t xml:space="preserve">en las 14 clasificaciones verificadas.</w:t>
      </w:r>
    </w:p>
    <w:p>
      <w:pPr>
        <w:numPr>
          <w:ilvl w:val="0"/>
          <w:numId w:val="1013"/>
        </w:numPr>
        <w:pStyle w:val="Compact"/>
      </w:pPr>
      <w:r>
        <w:t xml:space="preserve">Esto confirma que las fórmulas aplican las reglas como están escritas. No prueba que los límites propuestos sean los correctos para la institución; eso le corresponde decidir a Riesgos.</w:t>
      </w:r>
    </w:p>
    <w:p>
      <w:pPr>
        <w:pStyle w:val="FirstParagraph"/>
      </w:pPr>
      <w:r>
        <w:rPr>
          <w:bCs/>
          <w:b/>
        </w:rPr>
        <w:t xml:space="preserve">Requisitos normativos que necesitan verificación documental.</w:t>
      </w:r>
      <w:r>
        <w:t xml:space="preserve"> </w:t>
      </w:r>
      <w:r>
        <w:t xml:space="preserve">La gestión del riesgo de crédito y la clasificación de deudores (categorías A1/A2) están reguladas por la normativa prudencial salvadoreña (BCR/SSF). Este análisis</w:t>
      </w:r>
      <w:r>
        <w:t xml:space="preserve"> </w:t>
      </w:r>
      <w:r>
        <w:rPr>
          <w:bCs/>
          <w:b/>
        </w:rPr>
        <w:t xml:space="preserve">no</w:t>
      </w:r>
      <w:r>
        <w:t xml:space="preserve"> </w:t>
      </w:r>
      <w:r>
        <w:t xml:space="preserve">verificó ningún límite normativo. Riesgos y Cumplimiento deben confirmar qué norma y qué umbrales aplican a esta cooperativa.</w:t>
      </w:r>
    </w:p>
    <w:p>
      <w:r>
        <w:pict>
          <v:rect style="width:0;height:1.5pt" o:hralign="center" o:hrstd="t" o:hr="t"/>
        </w:pict>
      </w:r>
    </w:p>
    <w:bookmarkEnd w:id="36"/>
    <w:bookmarkStart w:id="37" w:name="recomendaciones-priorizadas-para-riesgos"/>
    <w:p>
      <w:pPr>
        <w:pStyle w:val="Heading1"/>
      </w:pPr>
      <w:r>
        <w:t xml:space="preserve">7. Recomendaciones priorizadas para Riesgos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No validar la base completa todavía.</w:t>
      </w:r>
      <w:r>
        <w:t xml:space="preserve"> </w:t>
      </w:r>
      <w:r>
        <w:t xml:space="preserve">Pedir a Créditos el ingreso que se usó para asignar los límites de los 1,418 asociados sin ingreso válido. Sin ese dato no se puede evaluar su capacidad de pago.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Excluir o justificar</w:t>
      </w:r>
      <w:r>
        <w:t xml:space="preserve"> </w:t>
      </w:r>
      <w:r>
        <w:t xml:space="preserve">a los 8 asociados que tienen 56 años al corte, a los 55 con fondo $0 y a los 135 con ingreso $0, porque contradicen los criterios del propio memorando.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Corregir el registro de vehículo de $150,000</w:t>
      </w:r>
      <w:r>
        <w:t xml:space="preserve"> </w:t>
      </w:r>
      <w:r>
        <w:t xml:space="preserve">(asociado 20403) y conciliar las cifras de 2,263 vs 2,262 registros, 61 sin deuda SSF y 54 vs 186 no al día en aportaciones.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Aclarar el criterio 3</w:t>
      </w:r>
      <w:r>
        <w:t xml:space="preserve"> </w:t>
      </w:r>
      <w:r>
        <w:t xml:space="preserve">(966 tarjetahabientes en la base) y el criterio 4 (antigüedad</w:t>
      </w:r>
      <w:r>
        <w:t xml:space="preserve"> </w:t>
      </w:r>
      <w:r>
        <w:t xml:space="preserve">“</w:t>
      </w:r>
      <w:r>
        <w:t xml:space="preserve">0 meses</w:t>
      </w:r>
      <w:r>
        <w:t xml:space="preserve">”</w:t>
      </w:r>
      <w:r>
        <w:t xml:space="preserve">).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Pedir evidencia de las consultas externas</w:t>
      </w:r>
      <w:r>
        <w:t xml:space="preserve">: lista negra, castigos, personas relacionadas o empleados y solvencia en Hacienda. La solvencia es obligatoria para los 679 hipotecarios y para los 298 con TC &gt; $4,000.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Incorporar las cuotas mensuales</w:t>
      </w:r>
      <w:r>
        <w:t xml:space="preserve"> </w:t>
      </w:r>
      <w:r>
        <w:t xml:space="preserve">de todas las obligaciones (internas y SSF) para medir la relación cuota-ingreso. Es el indicador clave de capacidad de pago y hoy falta.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Revisar en el Comité los 133 casos con 2 o más alertas</w:t>
      </w:r>
      <w:r>
        <w:t xml:space="preserve"> </w:t>
      </w:r>
      <w:r>
        <w:t xml:space="preserve">y los 228 con fondo bajo y deuda elevada.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Documentar la naturaleza del fondo compensatorio</w:t>
      </w:r>
      <w:r>
        <w:t xml:space="preserve"> </w:t>
      </w:r>
      <w:r>
        <w:t xml:space="preserve">antes de considerarlo un mitigante.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Entregar la tabla hipotecaria oficial</w:t>
      </w:r>
      <w:r>
        <w:t xml:space="preserve"> </w:t>
      </w:r>
      <w:r>
        <w:t xml:space="preserve">y unificar los nombres de los segmentos de TC.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Para un modelo ponderado futuro</w:t>
      </w:r>
      <w:r>
        <w:t xml:space="preserve">, conservar el desempeño de pago de estos créditos (mora a 30, 60 y 90 días) y así calibrar y validar los pesos.</w:t>
      </w:r>
    </w:p>
    <w:p>
      <w:r>
        <w:pict>
          <v:rect style="width:0;height:1.5pt" o:hralign="center" o:hrstd="t" o:hr="t"/>
        </w:pict>
      </w:r>
    </w:p>
    <w:bookmarkEnd w:id="37"/>
    <w:bookmarkStart w:id="38" w:name="X898a8fd7cf0697dbc3940610ff34969f1de0ea2"/>
    <w:p>
      <w:pPr>
        <w:pStyle w:val="Heading1"/>
      </w:pPr>
      <w:r>
        <w:t xml:space="preserve">8. Parámetros pendientes de aprobación institucional</w:t>
      </w:r>
    </w:p>
    <w:p>
      <w:pPr>
        <w:pStyle w:val="FirstParagraph"/>
      </w:pPr>
      <w:r>
        <w:t xml:space="preserve">La hoja</w:t>
      </w:r>
      <w:r>
        <w:t xml:space="preserve"> </w:t>
      </w:r>
      <w:r>
        <w:rPr>
          <w:rStyle w:val="VerbatimChar"/>
        </w:rPr>
        <w:t xml:space="preserve">Pendientes_Aprobacion</w:t>
      </w:r>
      <w:r>
        <w:t xml:space="preserve"> </w:t>
      </w:r>
      <w:r>
        <w:t xml:space="preserve">del libro tiene 27 puntos con su responsable sugerido. Los principales son:</w:t>
      </w:r>
    </w:p>
    <w:p>
      <w:pPr>
        <w:numPr>
          <w:ilvl w:val="0"/>
          <w:numId w:val="1015"/>
        </w:numPr>
        <w:pStyle w:val="Compact"/>
      </w:pPr>
      <w:r>
        <w:t xml:space="preserve">los rangos de ingreso (I–IV), de deuda SSF (D1–D4), de deuda-ingreso (R1–R4) y de fondo (F1–F4 y M1–M4);</w:t>
      </w:r>
    </w:p>
    <w:p>
      <w:pPr>
        <w:numPr>
          <w:ilvl w:val="0"/>
          <w:numId w:val="1015"/>
        </w:numPr>
        <w:pStyle w:val="Compact"/>
      </w:pPr>
      <w:r>
        <w:t xml:space="preserve">los otros criterios (aportaciones, cuotas de aportación vencidas, niveles de categoría y tramos de edad);</w:t>
      </w:r>
    </w:p>
    <w:p>
      <w:pPr>
        <w:numPr>
          <w:ilvl w:val="0"/>
          <w:numId w:val="1015"/>
        </w:numPr>
        <w:pStyle w:val="Compact"/>
      </w:pPr>
      <w:r>
        <w:t xml:space="preserve">el umbral para marcar un ingreso como atípico;</w:t>
      </w:r>
    </w:p>
    <w:p>
      <w:pPr>
        <w:numPr>
          <w:ilvl w:val="0"/>
          <w:numId w:val="1015"/>
        </w:numPr>
        <w:pStyle w:val="Compact"/>
      </w:pPr>
      <w:r>
        <w:t xml:space="preserve">cómo tratar a los asociados sin historial interno y a los que tienen categoría A2;</w:t>
      </w:r>
    </w:p>
    <w:p>
      <w:pPr>
        <w:numPr>
          <w:ilvl w:val="0"/>
          <w:numId w:val="1015"/>
        </w:numPr>
        <w:pStyle w:val="Compact"/>
      </w:pPr>
      <w:r>
        <w:t xml:space="preserve">la tabla hipotecaria;</w:t>
      </w:r>
    </w:p>
    <w:p>
      <w:pPr>
        <w:numPr>
          <w:ilvl w:val="0"/>
          <w:numId w:val="1015"/>
        </w:numPr>
        <w:pStyle w:val="Compact"/>
      </w:pPr>
      <w:r>
        <w:t xml:space="preserve">la naturaleza del ingreso y del fondo;</w:t>
      </w:r>
    </w:p>
    <w:p>
      <w:pPr>
        <w:numPr>
          <w:ilvl w:val="0"/>
          <w:numId w:val="1015"/>
        </w:numPr>
        <w:pStyle w:val="Compact"/>
      </w:pPr>
      <w:r>
        <w:t xml:space="preserve">el límite institucional de la relación cuota-ingreso por producto.</w:t>
      </w:r>
    </w:p>
    <w:p>
      <w:pPr>
        <w:pStyle w:val="FirstParagraph"/>
      </w:pPr>
      <w:r>
        <w:t xml:space="preserve">Todos los parámetros están en la hoja</w:t>
      </w:r>
      <w:r>
        <w:t xml:space="preserve"> </w:t>
      </w:r>
      <w:r>
        <w:rPr>
          <w:rStyle w:val="VerbatimChar"/>
        </w:rPr>
        <w:t xml:space="preserve">Parametros</w:t>
      </w:r>
      <w:r>
        <w:t xml:space="preserve">, en las celdas amarillas. Si Riesgos los cambia, el libro completo se recalcula.</w:t>
      </w:r>
    </w:p>
    <w:bookmarkEnd w:id="3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Evaluación y segmentación de riesgos de la base pre evaluada de crédito</dc:title>
  <dc:creator/>
  <cp:keywords/>
  <dcterms:created xsi:type="dcterms:W3CDTF">2026-10-27T21:16:18Z</dcterms:created>
  <dcterms:modified xsi:type="dcterms:W3CDTF">2026-10-27T21:16:18Z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Hipotecario, vehículo y tarjeta de crédito: respuesta al memorando del 27/10/2026</vt:lpwstr>
  </property>
</Properties>
</file>