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4"/>
        <w:jc w:val="both"/>
      </w:pPr>
      <w:r>
        <w:rPr>
          <w:rFonts w:ascii="Arial" w:cs="Arial" w:eastAsia="Arial" w:hAnsi="Arial"/>
          <w:b/>
          <w:bCs/>
          <w:sz w:val="19"/>
          <w:szCs w:val="19"/>
        </w:rPr>
        <w:t xml:space="preserve">I.   POLÍTICA DE CONTRATACIÓN DE SERVICIOS CRÍTICOS TERCERIZADOS (RP-GG-PL-003) Y ANEXO 1</w:t>
      </w:r>
    </w:p>
    <w:p>
      <w:pPr>
        <w:spacing w:after="120" w:line="264"/>
        <w:jc w:val="both"/>
      </w:pPr>
      <w:r>
        <w:rPr>
          <w:rFonts w:ascii="Arial" w:cs="Arial" w:eastAsia="Arial" w:hAnsi="Arial"/>
          <w:b/>
          <w:bCs/>
          <w:sz w:val="19"/>
          <w:szCs w:val="19"/>
        </w:rPr>
        <w:t xml:space="preserve">Convención:</w:t>
      </w:r>
      <w:r>
        <w:rPr>
          <w:rFonts w:ascii="Arial" w:cs="Arial" w:eastAsia="Arial" w:hAnsi="Arial"/>
          <w:sz w:val="19"/>
          <w:szCs w:val="19"/>
        </w:rPr>
        <w:t xml:space="preserve"> en la columna izquierda (versión 03) va </w:t>
      </w:r>
      <w:r>
        <w:rPr>
          <w:rFonts w:ascii="Arial" w:cs="Arial" w:eastAsia="Arial" w:hAnsi="Arial"/>
          <w:strike/>
          <w:sz w:val="19"/>
          <w:szCs w:val="19"/>
        </w:rPr>
        <w:t xml:space="preserve">tachado</w:t>
      </w:r>
      <w:r>
        <w:rPr>
          <w:rFonts w:ascii="Arial" w:cs="Arial" w:eastAsia="Arial" w:hAnsi="Arial"/>
          <w:sz w:val="19"/>
          <w:szCs w:val="19"/>
        </w:rPr>
        <w:t xml:space="preserve"> lo que se elimina o se reemplaza. En la columna derecha (versión 04) va el texto completo y lo nuevo que se agrega va </w:t>
      </w:r>
      <w:r>
        <w:rPr>
          <w:rFonts w:ascii="Arial" w:cs="Arial" w:eastAsia="Arial" w:hAnsi="Arial"/>
          <w:sz w:val="19"/>
          <w:szCs w:val="19"/>
          <w:u w:val="single"/>
        </w:rPr>
        <w:t xml:space="preserve">subrayado</w:t>
      </w:r>
      <w:r>
        <w:rPr>
          <w:rFonts w:ascii="Arial" w:cs="Arial" w:eastAsia="Arial" w:hAnsi="Arial"/>
          <w:sz w:val="19"/>
          <w:szCs w:val="19"/>
        </w:rPr>
        <w:t xml:space="preserve">.</w:t>
      </w:r>
    </w:p>
    <w:p>
      <w:pPr>
        <w:spacing w:after="120" w:line="264"/>
        <w:jc w:val="both"/>
      </w:pPr>
      <w:r>
        <w:rPr>
          <w:rFonts w:ascii="Arial" w:cs="Arial" w:eastAsia="Arial" w:hAnsi="Arial"/>
          <w:b/>
          <w:bCs/>
          <w:sz w:val="19"/>
          <w:szCs w:val="19"/>
        </w:rPr>
        <w:t xml:space="preserve">Nota de validación normativa (previa a someter al Comité de Riesgos):</w:t>
      </w:r>
      <w:r>
        <w:rPr>
          <w:rFonts w:ascii="Arial" w:cs="Arial" w:eastAsia="Arial" w:hAnsi="Arial"/>
          <w:sz w:val="19"/>
          <w:szCs w:val="19"/>
        </w:rPr>
        <w:t xml:space="preserve"> según las publicaciones oficiales del BCR/SSF, la NRP-20 corresponde a las Normas Técnicas para la Gestión Integral de Riesgos (bajo las cuales se gestiona el riesgo tecnológico) y la NRP-17 a las Normas Técnicas de Gobierno Corporativo; por ello, los controles de concentración y contraparte se fundamentan conjuntamente en la NRP-20 y la NRP-17. Respecto a la NRP-15 (riesgo de liquidez), se recomienda que el Departamento Jurídico confirme su numeración y vigencia, ya que la norma de liquidez publicada por la SSF figura como NRP-05.</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900"/>
        <w:gridCol w:w="4604"/>
      </w:tblGrid>
      <w:tr>
        <w:trPr>
          <w:tblHeader/>
        </w:trPr>
        <w:tc>
          <w:tcPr>
            <w:tcW w:type="dxa" w:w="3900"/>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VERSIÓN ANTERIOR (POLÍTICA ACTUAL)</w:t>
            </w:r>
          </w:p>
        </w:tc>
        <w:tc>
          <w:tcPr>
            <w:tcW w:type="dxa" w:w="4604"/>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ACTUALIZACIÓN / PROPUESTA CON NORMATIVA (NRP-20, NRP-42, NRP-24, NRP-17, NRP-15)</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CAMBIOS GENERALES APLICABLES A TODO EL DOCUMENTO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w:t>
            </w:r>
            <w:r>
              <w:rPr>
                <w:rFonts w:ascii="Arial" w:cs="Arial" w:eastAsia="Arial" w:hAnsi="Arial"/>
                <w:strike/>
                <w:sz w:val="19"/>
                <w:szCs w:val="19"/>
              </w:rPr>
              <w:t xml:space="preserve">Comité de Administración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Referencias a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Nombre del documento: “Contratación de Servicios Críticos Tercerizados”. </w:t>
            </w:r>
            <w:r>
              <w:rPr>
                <w:rFonts w:ascii="Arial" w:cs="Arial" w:eastAsia="Arial" w:hAnsi="Arial"/>
                <w:strike/>
                <w:sz w:val="19"/>
                <w:szCs w:val="19"/>
              </w:rPr>
              <w:t xml:space="preserve">Versión 03.</w:t>
            </w:r>
          </w:p>
          <w:p>
            <w:pPr>
              <w:spacing w:after="80" w:line="264"/>
              <w:jc w:val="both"/>
            </w:pPr>
            <w:r>
              <w:rPr>
                <w:rFonts w:ascii="Arial" w:cs="Arial" w:eastAsia="Arial" w:hAnsi="Arial"/>
                <w:sz w:val="19"/>
                <w:szCs w:val="19"/>
              </w:rPr>
              <w:t xml:space="preserve">Anexo 1 aplicable </w:t>
            </w:r>
            <w:r>
              <w:rPr>
                <w:rFonts w:ascii="Arial" w:cs="Arial" w:eastAsia="Arial" w:hAnsi="Arial"/>
                <w:strike/>
                <w:sz w:val="19"/>
                <w:szCs w:val="19"/>
              </w:rPr>
              <w:t xml:space="preserve">únicamente</w:t>
            </w:r>
            <w:r>
              <w:rPr>
                <w:rFonts w:ascii="Arial" w:cs="Arial" w:eastAsia="Arial" w:hAnsi="Arial"/>
                <w:sz w:val="19"/>
                <w:szCs w:val="19"/>
              </w:rPr>
              <w:t xml:space="preserve"> a actividades u operaciones de Tecnología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w:t>
            </w:r>
            <w:r>
              <w:rPr>
                <w:rFonts w:ascii="Arial" w:cs="Arial" w:eastAsia="Arial" w:hAnsi="Arial"/>
                <w:sz w:val="19"/>
                <w:szCs w:val="19"/>
                <w:u w:val="single"/>
              </w:rPr>
              <w:t xml:space="preserve">Comité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Referencias a las </w:t>
            </w:r>
            <w:r>
              <w:rPr>
                <w:rFonts w:ascii="Arial" w:cs="Arial" w:eastAsia="Arial" w:hAnsi="Arial"/>
                <w:sz w:val="19"/>
                <w:szCs w:val="19"/>
                <w:u w:val="single"/>
              </w:rPr>
              <w:t xml:space="preserve">Normas Técnicas para la Gestión del Riesgo Operacional en las Entidades Financieras (NRP-42)</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Nombre del documento: “</w:t>
            </w:r>
            <w:r>
              <w:rPr>
                <w:rFonts w:ascii="Arial" w:cs="Arial" w:eastAsia="Arial" w:hAnsi="Arial"/>
                <w:sz w:val="19"/>
                <w:szCs w:val="19"/>
                <w:u w:val="single"/>
              </w:rPr>
              <w:t xml:space="preserve">Política de </w:t>
            </w:r>
            <w:r>
              <w:rPr>
                <w:rFonts w:ascii="Arial" w:cs="Arial" w:eastAsia="Arial" w:hAnsi="Arial"/>
                <w:sz w:val="19"/>
                <w:szCs w:val="19"/>
              </w:rPr>
              <w:t xml:space="preserve">Contratación </w:t>
            </w:r>
            <w:r>
              <w:rPr>
                <w:rFonts w:ascii="Arial" w:cs="Arial" w:eastAsia="Arial" w:hAnsi="Arial"/>
                <w:sz w:val="19"/>
                <w:szCs w:val="19"/>
                <w:u w:val="single"/>
              </w:rPr>
              <w:t xml:space="preserve">y Gestión </w:t>
            </w:r>
            <w:r>
              <w:rPr>
                <w:rFonts w:ascii="Arial" w:cs="Arial" w:eastAsia="Arial" w:hAnsi="Arial"/>
                <w:sz w:val="19"/>
                <w:szCs w:val="19"/>
              </w:rPr>
              <w:t xml:space="preserve">de Servicios Críticos Tercerizados”. </w:t>
            </w:r>
            <w:r>
              <w:rPr>
                <w:rFonts w:ascii="Arial" w:cs="Arial" w:eastAsia="Arial" w:hAnsi="Arial"/>
                <w:sz w:val="19"/>
                <w:szCs w:val="19"/>
                <w:u w:val="single"/>
              </w:rPr>
              <w:t xml:space="preserve">Versión 04.</w:t>
            </w:r>
          </w:p>
          <w:p>
            <w:pPr>
              <w:spacing w:after="80" w:line="264"/>
              <w:jc w:val="both"/>
            </w:pPr>
            <w:r>
              <w:rPr>
                <w:rFonts w:ascii="Arial" w:cs="Arial" w:eastAsia="Arial" w:hAnsi="Arial"/>
                <w:sz w:val="19"/>
                <w:szCs w:val="19"/>
              </w:rPr>
              <w:t xml:space="preserve">Anexo 1 aplicable a </w:t>
            </w:r>
            <w:r>
              <w:rPr>
                <w:rFonts w:ascii="Arial" w:cs="Arial" w:eastAsia="Arial" w:hAnsi="Arial"/>
                <w:sz w:val="19"/>
                <w:szCs w:val="19"/>
                <w:u w:val="single"/>
              </w:rPr>
              <w:t xml:space="preserve">todos los Servicios Críticos Tercerizados, incluyendo</w:t>
            </w:r>
            <w:r>
              <w:rPr>
                <w:rFonts w:ascii="Arial" w:cs="Arial" w:eastAsia="Arial" w:hAnsi="Arial"/>
                <w:sz w:val="19"/>
                <w:szCs w:val="19"/>
              </w:rPr>
              <w:t xml:space="preserve">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 PROPÓSITO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que permitan evaluar, administrar y monitorear objetivamente </w:t>
            </w:r>
            <w:r>
              <w:rPr>
                <w:rFonts w:ascii="Arial" w:cs="Arial" w:eastAsia="Arial" w:hAnsi="Arial"/>
                <w:strike/>
                <w:sz w:val="19"/>
                <w:szCs w:val="19"/>
              </w:rPr>
              <w:t xml:space="preserve">si los servicios que se tercerizan pueden</w:t>
            </w:r>
            <w:r>
              <w:rPr>
                <w:rFonts w:ascii="Arial" w:cs="Arial" w:eastAsia="Arial" w:hAnsi="Arial"/>
                <w:sz w:val="19"/>
                <w:szCs w:val="19"/>
              </w:rPr>
              <w:t xml:space="preserve"> ser prestados de manera eficiente y no interfieren en el correcto funcionamiento de la Cooperativa, cuidando los intereses de COMEDICA en los Procesos de Contratación de Servicios Críticos Tercerizados.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w:t>
            </w:r>
            <w:r>
              <w:rPr>
                <w:rFonts w:ascii="Arial" w:cs="Arial" w:eastAsia="Arial" w:hAnsi="Arial"/>
                <w:sz w:val="19"/>
                <w:szCs w:val="19"/>
                <w:u w:val="single"/>
              </w:rPr>
              <w:t xml:space="preserve">, lineamientos y controles mínimos</w:t>
            </w:r>
            <w:r>
              <w:rPr>
                <w:rFonts w:ascii="Arial" w:cs="Arial" w:eastAsia="Arial" w:hAnsi="Arial"/>
                <w:sz w:val="19"/>
                <w:szCs w:val="19"/>
              </w:rPr>
              <w:t xml:space="preserve"> que permitan </w:t>
            </w:r>
            <w:r>
              <w:rPr>
                <w:rFonts w:ascii="Arial" w:cs="Arial" w:eastAsia="Arial" w:hAnsi="Arial"/>
                <w:sz w:val="19"/>
                <w:szCs w:val="19"/>
                <w:u w:val="single"/>
              </w:rPr>
              <w:t xml:space="preserve">identificar,</w:t>
            </w:r>
            <w:r>
              <w:rPr>
                <w:rFonts w:ascii="Arial" w:cs="Arial" w:eastAsia="Arial" w:hAnsi="Arial"/>
                <w:sz w:val="19"/>
                <w:szCs w:val="19"/>
              </w:rPr>
              <w:t xml:space="preserve"> evaluar, administrar, </w:t>
            </w:r>
            <w:r>
              <w:rPr>
                <w:rFonts w:ascii="Arial" w:cs="Arial" w:eastAsia="Arial" w:hAnsi="Arial"/>
                <w:sz w:val="19"/>
                <w:szCs w:val="19"/>
                <w:u w:val="single"/>
              </w:rPr>
              <w:t xml:space="preserve">mitigar</w:t>
            </w:r>
            <w:r>
              <w:rPr>
                <w:rFonts w:ascii="Arial" w:cs="Arial" w:eastAsia="Arial" w:hAnsi="Arial"/>
                <w:sz w:val="19"/>
                <w:szCs w:val="19"/>
              </w:rPr>
              <w:t xml:space="preserve"> y monitorear objetivamente </w:t>
            </w:r>
            <w:r>
              <w:rPr>
                <w:rFonts w:ascii="Arial" w:cs="Arial" w:eastAsia="Arial" w:hAnsi="Arial"/>
                <w:sz w:val="19"/>
                <w:szCs w:val="19"/>
                <w:u w:val="single"/>
              </w:rPr>
              <w:t xml:space="preserve">los riesgos asociados a la tercerización de servicios críticos, asegurando que dichos servicios</w:t>
            </w:r>
            <w:r>
              <w:rPr>
                <w:rFonts w:ascii="Arial" w:cs="Arial" w:eastAsia="Arial" w:hAnsi="Arial"/>
                <w:sz w:val="19"/>
                <w:szCs w:val="19"/>
              </w:rPr>
              <w:t xml:space="preserve"> sean prestados de manera eficiente, </w:t>
            </w:r>
            <w:r>
              <w:rPr>
                <w:rFonts w:ascii="Arial" w:cs="Arial" w:eastAsia="Arial" w:hAnsi="Arial"/>
                <w:sz w:val="19"/>
                <w:szCs w:val="19"/>
                <w:u w:val="single"/>
              </w:rPr>
              <w:t xml:space="preserve">segura y continua, y que</w:t>
            </w:r>
            <w:r>
              <w:rPr>
                <w:rFonts w:ascii="Arial" w:cs="Arial" w:eastAsia="Arial" w:hAnsi="Arial"/>
                <w:sz w:val="19"/>
                <w:szCs w:val="19"/>
              </w:rPr>
              <w:t xml:space="preserve"> no interfieran en el correcto funcionamiento de la Cooperativa</w:t>
            </w:r>
            <w:r>
              <w:rPr>
                <w:rFonts w:ascii="Arial" w:cs="Arial" w:eastAsia="Arial" w:hAnsi="Arial"/>
                <w:sz w:val="19"/>
                <w:szCs w:val="19"/>
                <w:u w:val="single"/>
              </w:rPr>
              <w:t xml:space="preserve">, en su perfil de riesgo, en su posición de liquidez ni en el cumplimiento del marco regulatorio</w:t>
            </w:r>
            <w:r>
              <w:rPr>
                <w:rFonts w:ascii="Arial" w:cs="Arial" w:eastAsia="Arial" w:hAnsi="Arial"/>
                <w:sz w:val="19"/>
                <w:szCs w:val="19"/>
              </w:rPr>
              <w:t xml:space="preserve">, cuidando los intereses de COMEDICA </w:t>
            </w:r>
            <w:r>
              <w:rPr>
                <w:rFonts w:ascii="Arial" w:cs="Arial" w:eastAsia="Arial" w:hAnsi="Arial"/>
                <w:sz w:val="19"/>
                <w:szCs w:val="19"/>
                <w:u w:val="single"/>
              </w:rPr>
              <w:t xml:space="preserve">de R.L. y de sus asociados</w:t>
            </w:r>
            <w:r>
              <w:rPr>
                <w:rFonts w:ascii="Arial" w:cs="Arial" w:eastAsia="Arial" w:hAnsi="Arial"/>
                <w:sz w:val="19"/>
                <w:szCs w:val="19"/>
              </w:rPr>
              <w:t xml:space="preserve"> en los procesos de </w:t>
            </w:r>
            <w:r>
              <w:rPr>
                <w:rFonts w:ascii="Arial" w:cs="Arial" w:eastAsia="Arial" w:hAnsi="Arial"/>
                <w:sz w:val="19"/>
                <w:szCs w:val="19"/>
                <w:u w:val="single"/>
              </w:rPr>
              <w:t xml:space="preserve">selección,</w:t>
            </w:r>
            <w:r>
              <w:rPr>
                <w:rFonts w:ascii="Arial" w:cs="Arial" w:eastAsia="Arial" w:hAnsi="Arial"/>
                <w:sz w:val="19"/>
                <w:szCs w:val="19"/>
              </w:rPr>
              <w:t xml:space="preserve"> contratación, </w:t>
            </w:r>
            <w:r>
              <w:rPr>
                <w:rFonts w:ascii="Arial" w:cs="Arial" w:eastAsia="Arial" w:hAnsi="Arial"/>
                <w:sz w:val="19"/>
                <w:szCs w:val="19"/>
                <w:u w:val="single"/>
              </w:rPr>
              <w:t xml:space="preserve">monitoreo, renovación y terminación</w:t>
            </w:r>
            <w:r>
              <w:rPr>
                <w:rFonts w:ascii="Arial" w:cs="Arial" w:eastAsia="Arial" w:hAnsi="Arial"/>
                <w:sz w:val="19"/>
                <w:szCs w:val="19"/>
              </w:rPr>
              <w:t xml:space="preserve"> de Servicios Críticos Tercerizados.</w:t>
            </w:r>
          </w:p>
          <w:p>
            <w:pPr>
              <w:spacing w:after="80" w:line="264"/>
              <w:jc w:val="both"/>
            </w:pPr>
            <w:r>
              <w:rPr>
                <w:rFonts w:ascii="Arial" w:cs="Arial" w:eastAsia="Arial" w:hAnsi="Arial"/>
                <w:sz w:val="19"/>
                <w:szCs w:val="19"/>
                <w:u w:val="single"/>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pPr>
              <w:spacing w:after="80" w:line="264"/>
              <w:jc w:val="both"/>
            </w:pPr>
            <w:r>
              <w:rPr>
                <w:rFonts w:ascii="Arial" w:cs="Arial" w:eastAsia="Arial" w:hAnsi="Arial"/>
                <w:sz w:val="19"/>
                <w:szCs w:val="19"/>
                <w:u w:val="single"/>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 ALCANCE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de Servicios Críticos Tercerizados, en cumplimiento a lo establecido en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 Normas Técnicas para la Gestión de la Seguridad de la Información (NRP-23) y Normas Técnicas para el Sistema de Gestión de la Continuidad del Negocio (NRP-24).</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w:t>
            </w:r>
            <w:r>
              <w:rPr>
                <w:rFonts w:ascii="Arial" w:cs="Arial" w:eastAsia="Arial" w:hAnsi="Arial"/>
                <w:sz w:val="19"/>
                <w:szCs w:val="19"/>
                <w:u w:val="single"/>
              </w:rPr>
              <w:t xml:space="preserve">y gestión durante todo el ciclo de vida (planificación, evaluación, selección, contratación, monitoreo, renovación y terminación o salida)</w:t>
            </w:r>
            <w:r>
              <w:rPr>
                <w:rFonts w:ascii="Arial" w:cs="Arial" w:eastAsia="Arial" w:hAnsi="Arial"/>
                <w:sz w:val="19"/>
                <w:szCs w:val="19"/>
              </w:rPr>
              <w:t xml:space="preserve"> de Servicios Críticos Tercerizados, </w:t>
            </w:r>
            <w:r>
              <w:rPr>
                <w:rFonts w:ascii="Arial" w:cs="Arial" w:eastAsia="Arial" w:hAnsi="Arial"/>
                <w:sz w:val="19"/>
                <w:szCs w:val="19"/>
                <w:u w:val="single"/>
              </w:rPr>
              <w:t xml:space="preserve">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w:t>
            </w:r>
            <w:r>
              <w:rPr>
                <w:rFonts w:ascii="Arial" w:cs="Arial" w:eastAsia="Arial" w:hAnsi="Arial"/>
                <w:sz w:val="19"/>
                <w:szCs w:val="19"/>
              </w:rPr>
              <w:t xml:space="preserve"> en cumplimiento a lo establecido en:</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Integral de Riesgos de las Entidades Financieras (NRP-20).</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Operacional en las Entidades Financieras (NRP-42).</w:t>
            </w:r>
          </w:p>
          <w:p>
            <w:pPr>
              <w:pStyle w:val="ListParagraph"/>
              <w:numPr>
                <w:ilvl w:val="0"/>
                <w:numId w:val="2"/>
              </w:numPr>
              <w:spacing w:after="80" w:line="264"/>
              <w:jc w:val="both"/>
            </w:pPr>
            <w:r>
              <w:rPr>
                <w:rFonts w:ascii="Arial" w:cs="Arial" w:eastAsia="Arial" w:hAnsi="Arial"/>
                <w:sz w:val="19"/>
                <w:szCs w:val="19"/>
              </w:rPr>
              <w:t xml:space="preserve">Normas Técnicas para el Sistema de Gestión de la Continuidad del Negocio (NRP-24).</w:t>
            </w:r>
          </w:p>
          <w:p>
            <w:pPr>
              <w:pStyle w:val="ListParagraph"/>
              <w:numPr>
                <w:ilvl w:val="0"/>
                <w:numId w:val="2"/>
              </w:numPr>
              <w:spacing w:after="80" w:line="264"/>
              <w:jc w:val="both"/>
            </w:pPr>
            <w:r>
              <w:rPr>
                <w:rFonts w:ascii="Arial" w:cs="Arial" w:eastAsia="Arial" w:hAnsi="Arial"/>
                <w:sz w:val="19"/>
                <w:szCs w:val="19"/>
                <w:u w:val="single"/>
              </w:rPr>
              <w:t xml:space="preserve">Normas Técnicas de Gobierno Corporativo (NRP-17).</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de Liquidez (NRP-15).</w:t>
            </w:r>
          </w:p>
          <w:p>
            <w:pPr>
              <w:pStyle w:val="ListParagraph"/>
              <w:numPr>
                <w:ilvl w:val="0"/>
                <w:numId w:val="2"/>
              </w:numPr>
              <w:spacing w:after="80" w:line="264"/>
              <w:jc w:val="both"/>
            </w:pPr>
            <w:r>
              <w:rPr>
                <w:rFonts w:ascii="Arial" w:cs="Arial" w:eastAsia="Arial" w:hAnsi="Arial"/>
                <w:sz w:val="19"/>
                <w:szCs w:val="19"/>
              </w:rPr>
              <w:t xml:space="preserve">Normas Técnicas para la Gestión de la Seguridad de la Información (NRP-23).</w:t>
            </w:r>
          </w:p>
          <w:p>
            <w:pPr>
              <w:pStyle w:val="ListParagraph"/>
              <w:numPr>
                <w:ilvl w:val="0"/>
                <w:numId w:val="2"/>
              </w:numPr>
              <w:spacing w:after="80" w:line="264"/>
              <w:jc w:val="both"/>
            </w:pPr>
            <w:r>
              <w:rPr>
                <w:rFonts w:ascii="Arial" w:cs="Arial" w:eastAsia="Arial" w:hAnsi="Arial"/>
                <w:sz w:val="19"/>
                <w:szCs w:val="19"/>
                <w:u w:val="single"/>
              </w:rPr>
              <w:t xml:space="preserve">Manual de Compras de Bienes y Servicios (RP-GA-M-001), Código de Gobierno Corporativo, Código de Conducta y demás normativa interna y disposiciones legales y regulatorias aplicables.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III. DEFINICIONES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se delega a un tercero, quien asume las actividades por su cuenta y riesgo, y que además cuenta con sus propios recursos financieros, técnicos y materiales. En consecuencia, es responsable de los resultados de sus actividades, y del personal a su cargo.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w:t>
            </w:r>
            <w:r>
              <w:rPr>
                <w:rFonts w:ascii="Arial" w:cs="Arial" w:eastAsia="Arial" w:hAnsi="Arial"/>
                <w:sz w:val="19"/>
                <w:szCs w:val="19"/>
                <w:u w:val="single"/>
              </w:rPr>
              <w:t xml:space="preserve">, o de procesos de soporte que la habilitan,</w:t>
            </w:r>
            <w:r>
              <w:rPr>
                <w:rFonts w:ascii="Arial" w:cs="Arial" w:eastAsia="Arial" w:hAnsi="Arial"/>
                <w:sz w:val="19"/>
                <w:szCs w:val="19"/>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cs="Arial" w:eastAsia="Arial" w:hAnsi="Arial"/>
                <w:sz w:val="19"/>
                <w:szCs w:val="19"/>
                <w:u w:val="single"/>
              </w:rPr>
              <w:t xml:space="preserve">, sin que ello traslade a dicho tercero la responsabilidad que la Cooperativa mantiene frente a sus asociados y al ente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Críticos:</w:t>
            </w:r>
            <w:r>
              <w:rPr>
                <w:rFonts w:ascii="Arial" w:cs="Arial" w:eastAsia="Arial" w:hAnsi="Arial"/>
                <w:sz w:val="19"/>
                <w:szCs w:val="19"/>
              </w:rPr>
              <w:t xml:space="preserve"> Son un conjunto de actividades o procedimientos definidos como prioritarios, cuya no disponibilidad compromete la existencia de la entidad.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w:t>
            </w:r>
            <w:r>
              <w:rPr>
                <w:rFonts w:ascii="Arial" w:cs="Arial" w:eastAsia="Arial" w:hAnsi="Arial"/>
                <w:b/>
                <w:bCs/>
                <w:sz w:val="19"/>
                <w:szCs w:val="19"/>
                <w:u w:val="single"/>
              </w:rPr>
              <w:t xml:space="preserve">s</w:t>
            </w:r>
            <w:r>
              <w:rPr>
                <w:rFonts w:ascii="Arial" w:cs="Arial" w:eastAsia="Arial" w:hAnsi="Arial"/>
                <w:b/>
                <w:bCs/>
                <w:sz w:val="19"/>
                <w:szCs w:val="19"/>
              </w:rPr>
              <w:t xml:space="preserve"> Críticos:</w:t>
            </w:r>
            <w:r>
              <w:rPr>
                <w:rFonts w:ascii="Arial" w:cs="Arial" w:eastAsia="Arial" w:hAnsi="Arial"/>
                <w:sz w:val="19"/>
                <w:szCs w:val="19"/>
              </w:rPr>
              <w:t xml:space="preserve"> Son un conjunto de actividades o procedimientos definidos como prioritarios, cuya no disponibilidad compromete la existencia de la entidad</w:t>
            </w:r>
            <w:r>
              <w:rPr>
                <w:rFonts w:ascii="Arial" w:cs="Arial" w:eastAsia="Arial" w:hAnsi="Arial"/>
                <w:sz w:val="19"/>
                <w:szCs w:val="19"/>
                <w:u w:val="single"/>
              </w:rPr>
              <w:t xml:space="preserve">, la continuidad de sus procesos críticos identificados en el Análisis de Impacto al Negocio (BIA), su posición de liquidez o el cumplimiento de sus obligaciones regulatorias.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definidos como prioritarios para la entrega de productos y servicios y </w:t>
            </w:r>
            <w:r>
              <w:rPr>
                <w:rFonts w:ascii="Arial" w:cs="Arial" w:eastAsia="Arial" w:hAnsi="Arial"/>
                <w:strike/>
                <w:sz w:val="19"/>
                <w:szCs w:val="19"/>
              </w:rPr>
              <w:t xml:space="preserve">la</w:t>
            </w:r>
            <w:r>
              <w:rPr>
                <w:rFonts w:ascii="Arial" w:cs="Arial" w:eastAsia="Arial" w:hAnsi="Arial"/>
                <w:sz w:val="19"/>
                <w:szCs w:val="19"/>
              </w:rPr>
              <w:t xml:space="preserve"> interrupción </w:t>
            </w:r>
            <w:r>
              <w:rPr>
                <w:rFonts w:ascii="Arial" w:cs="Arial" w:eastAsia="Arial" w:hAnsi="Arial"/>
                <w:strike/>
                <w:sz w:val="19"/>
                <w:szCs w:val="19"/>
              </w:rPr>
              <w:t xml:space="preserve">de los mismos</w:t>
            </w:r>
            <w:r>
              <w:rPr>
                <w:rFonts w:ascii="Arial" w:cs="Arial" w:eastAsia="Arial" w:hAnsi="Arial"/>
                <w:sz w:val="19"/>
                <w:szCs w:val="19"/>
              </w:rPr>
              <w:t xml:space="preserve"> detiene la continuidad del negocio.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w:t>
            </w:r>
            <w:r>
              <w:rPr>
                <w:rFonts w:ascii="Arial" w:cs="Arial" w:eastAsia="Arial" w:hAnsi="Arial"/>
                <w:sz w:val="19"/>
                <w:szCs w:val="19"/>
                <w:u w:val="single"/>
              </w:rPr>
              <w:t xml:space="preserve">do</w:t>
            </w:r>
            <w:r>
              <w:rPr>
                <w:rFonts w:ascii="Arial" w:cs="Arial" w:eastAsia="Arial" w:hAnsi="Arial"/>
                <w:sz w:val="19"/>
                <w:szCs w:val="19"/>
              </w:rPr>
              <w:t xml:space="preserve"> como prioritarios para la entrega de productos y servicios y </w:t>
            </w:r>
            <w:r>
              <w:rPr>
                <w:rFonts w:ascii="Arial" w:cs="Arial" w:eastAsia="Arial" w:hAnsi="Arial"/>
                <w:sz w:val="19"/>
                <w:szCs w:val="19"/>
                <w:u w:val="single"/>
              </w:rPr>
              <w:t xml:space="preserve">cuya</w:t>
            </w:r>
            <w:r>
              <w:rPr>
                <w:rFonts w:ascii="Arial" w:cs="Arial" w:eastAsia="Arial" w:hAnsi="Arial"/>
                <w:sz w:val="19"/>
                <w:szCs w:val="19"/>
              </w:rPr>
              <w:t xml:space="preserve"> interrupción detiene la continuidad del negocio</w:t>
            </w:r>
            <w:r>
              <w:rPr>
                <w:rFonts w:ascii="Arial" w:cs="Arial" w:eastAsia="Arial" w:hAnsi="Arial"/>
                <w:sz w:val="19"/>
                <w:szCs w:val="19"/>
                <w:u w:val="single"/>
              </w:rPr>
              <w:t xml:space="preserve">, conforme al Análisis de Impacto al Negocio (BIA) del Sistema de Gestión de la Continuidad del Negocio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trike/>
                <w:sz w:val="19"/>
                <w:szCs w:val="19"/>
              </w:rPr>
              <w:t xml:space="preserve">Es una persona natural o jurídica, a quien se delega operaciones de la actividad o giro principal de la Cooperativa, y la</w:t>
            </w:r>
            <w:r>
              <w:rPr>
                <w:rFonts w:ascii="Arial" w:cs="Arial" w:eastAsia="Arial" w:hAnsi="Arial"/>
                <w:sz w:val="19"/>
                <w:szCs w:val="19"/>
              </w:rPr>
              <w:t xml:space="preserve"> no disponibilidad interrumpe la prestación de productos y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Son los servicios cuya ejecución se delega en un proveedor externo y que cumplen uno o más de los criterios de criticidad establecidos en el apartado V de la presente política, de tal forma que su</w:t>
            </w:r>
            <w:r>
              <w:rPr>
                <w:rFonts w:ascii="Arial" w:cs="Arial" w:eastAsia="Arial" w:hAnsi="Arial"/>
                <w:sz w:val="19"/>
                <w:szCs w:val="19"/>
              </w:rPr>
              <w:t xml:space="preserve"> no disponibilidad interrumpe la prestación de productos y servicios</w:t>
            </w:r>
            <w:r>
              <w:rPr>
                <w:rFonts w:ascii="Arial" w:cs="Arial" w:eastAsia="Arial" w:hAnsi="Arial"/>
                <w:sz w:val="19"/>
                <w:szCs w:val="19"/>
                <w:u w:val="single"/>
              </w:rPr>
              <w:t xml:space="preserve">, o afecta materialmente el perfil de riesgo de la Cooperativa.</w:t>
            </w:r>
          </w:p>
          <w:p>
            <w:pPr>
              <w:spacing w:after="80" w:line="264"/>
              <w:jc w:val="both"/>
            </w:pPr>
            <w:r>
              <w:rPr>
                <w:rFonts w:ascii="Arial" w:cs="Arial" w:eastAsia="Arial" w:hAnsi="Arial"/>
                <w:b/>
                <w:bCs/>
                <w:sz w:val="19"/>
                <w:szCs w:val="19"/>
                <w:u w:val="single"/>
              </w:rPr>
              <w:t xml:space="preserve">Proveedor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Es</w:t>
            </w:r>
            <w:r>
              <w:rPr>
                <w:rFonts w:ascii="Arial" w:cs="Arial" w:eastAsia="Arial" w:hAnsi="Arial"/>
                <w:sz w:val="19"/>
                <w:szCs w:val="19"/>
              </w:rPr>
              <w:t xml:space="preserve"> una persona natural o jurídica a quien se delega operaciones de la actividad o giro principal de la Cooperativa</w:t>
            </w:r>
            <w:r>
              <w:rPr>
                <w:rFonts w:ascii="Arial" w:cs="Arial" w:eastAsia="Arial" w:hAnsi="Arial"/>
                <w:sz w:val="19"/>
                <w:szCs w:val="19"/>
                <w:u w:val="single"/>
              </w:rPr>
              <w:t xml:space="preserve">, o de procesos que la soportan, calificadas como críticas.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una persona natural o jurídica </w:t>
            </w:r>
            <w:r>
              <w:rPr>
                <w:rFonts w:ascii="Arial" w:cs="Arial" w:eastAsia="Arial" w:hAnsi="Arial"/>
                <w:strike/>
                <w:sz w:val="19"/>
                <w:szCs w:val="19"/>
              </w:rPr>
              <w:t xml:space="preserve">que brinda productos o servicios, pero que la</w:t>
            </w:r>
            <w:r>
              <w:rPr>
                <w:rFonts w:ascii="Arial" w:cs="Arial" w:eastAsia="Arial" w:hAnsi="Arial"/>
                <w:sz w:val="19"/>
                <w:szCs w:val="19"/>
              </w:rPr>
              <w:t xml:space="preserve"> no disponibilidad </w:t>
            </w:r>
            <w:r>
              <w:rPr>
                <w:rFonts w:ascii="Arial" w:cs="Arial" w:eastAsia="Arial" w:hAnsi="Arial"/>
                <w:strike/>
                <w:sz w:val="19"/>
                <w:szCs w:val="19"/>
              </w:rPr>
              <w:t xml:space="preserve">de los mismos,</w:t>
            </w:r>
            <w:r>
              <w:rPr>
                <w:rFonts w:ascii="Arial" w:cs="Arial" w:eastAsia="Arial" w:hAnsi="Arial"/>
                <w:sz w:val="19"/>
                <w:szCs w:val="19"/>
              </w:rPr>
              <w:t xml:space="preserve"> no detiene la continuidad del negocio de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w:t>
            </w:r>
            <w:r>
              <w:rPr>
                <w:rFonts w:ascii="Arial" w:cs="Arial" w:eastAsia="Arial" w:hAnsi="Arial"/>
                <w:sz w:val="19"/>
                <w:szCs w:val="19"/>
                <w:u w:val="single"/>
              </w:rPr>
              <w:t xml:space="preserve">el servicio prestado por</w:t>
            </w:r>
            <w:r>
              <w:rPr>
                <w:rFonts w:ascii="Arial" w:cs="Arial" w:eastAsia="Arial" w:hAnsi="Arial"/>
                <w:sz w:val="19"/>
                <w:szCs w:val="19"/>
              </w:rPr>
              <w:t xml:space="preserve"> una persona natural o jurídica </w:t>
            </w:r>
            <w:r>
              <w:rPr>
                <w:rFonts w:ascii="Arial" w:cs="Arial" w:eastAsia="Arial" w:hAnsi="Arial"/>
                <w:sz w:val="19"/>
                <w:szCs w:val="19"/>
                <w:u w:val="single"/>
              </w:rPr>
              <w:t xml:space="preserve">cuya</w:t>
            </w:r>
            <w:r>
              <w:rPr>
                <w:rFonts w:ascii="Arial" w:cs="Arial" w:eastAsia="Arial" w:hAnsi="Arial"/>
                <w:sz w:val="19"/>
                <w:szCs w:val="19"/>
              </w:rPr>
              <w:t xml:space="preserve"> no disponibilidad no detiene la continuidad del negocio de la Cooperativa</w:t>
            </w:r>
            <w:r>
              <w:rPr>
                <w:rFonts w:ascii="Arial" w:cs="Arial" w:eastAsia="Arial" w:hAnsi="Arial"/>
                <w:sz w:val="19"/>
                <w:szCs w:val="19"/>
                <w:u w:val="single"/>
              </w:rPr>
              <w:t xml:space="preserve">, no afecta su posición de liquidez ni genera incumplimientos regulatorios, y para el cual existen alternativas de sustitución inmediata.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r>
              <w:rPr>
                <w:rFonts w:ascii="Arial" w:cs="Arial" w:eastAsia="Arial" w:hAnsi="Arial"/>
                <w:sz w:val="19"/>
                <w:szCs w:val="19"/>
                <w:u w:val="single"/>
              </w:rPr>
              <w:t xml:space="preserve">, y el responsable del monitoreo del cumplimiento de los niveles de servicio y de las obligaciones contractuales durante toda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derivadas de fallas, deficiencias, obsolescencia o uso inadecuado de la infraestructura tecnológica, sistemas de información, aplicaciones, redes y demás canales tecnológicos, incluyendo los provistos o administrados por terceros.</w:t>
            </w:r>
          </w:p>
          <w:p>
            <w:p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debido a fallas o inadecuaciones en los procesos, las personas, los sistemas de información o por eventos externos, incluyendo el riesgo legal.</w:t>
            </w:r>
          </w:p>
          <w:p>
            <w:pPr>
              <w:spacing w:after="80" w:line="264"/>
              <w:jc w:val="both"/>
            </w:pPr>
            <w:r>
              <w:rPr>
                <w:rFonts w:ascii="Arial" w:cs="Arial" w:eastAsia="Arial" w:hAnsi="Arial"/>
                <w:b/>
                <w:bCs/>
                <w:sz w:val="19"/>
                <w:szCs w:val="19"/>
                <w:u w:val="single"/>
              </w:rPr>
              <w:t xml:space="preserve">Riesgo de Tercerización:</w:t>
            </w:r>
            <w:r>
              <w:rPr>
                <w:rFonts w:ascii="Arial" w:cs="Arial" w:eastAsia="Arial" w:hAnsi="Arial"/>
                <w:sz w:val="19"/>
                <w:szCs w:val="19"/>
              </w:rPr>
              <w:t xml:space="preserve"> </w:t>
            </w:r>
            <w:r>
              <w:rPr>
                <w:rFonts w:ascii="Arial" w:cs="Arial" w:eastAsia="Arial" w:hAnsi="Arial"/>
                <w:sz w:val="19"/>
                <w:szCs w:val="19"/>
                <w:u w:val="single"/>
              </w:rPr>
              <w:t xml:space="preserve">Posibilidad de pérdidas, interrupciones o incumplimientos derivados de la falla, deficiencia, insolvencia o incumplimiento de un proveedor o de sus subcontratistas en la prestación de un servicio tercerizado.</w:t>
            </w:r>
          </w:p>
          <w:p>
            <w:pPr>
              <w:spacing w:after="80" w:line="264"/>
              <w:jc w:val="both"/>
            </w:pPr>
            <w:r>
              <w:rPr>
                <w:rFonts w:ascii="Arial" w:cs="Arial" w:eastAsia="Arial" w:hAnsi="Arial"/>
                <w:b/>
                <w:bCs/>
                <w:sz w:val="19"/>
                <w:szCs w:val="19"/>
                <w:u w:val="single"/>
              </w:rPr>
              <w:t xml:space="preserve">Riesgo de Concentración de Proveedores:</w:t>
            </w:r>
            <w:r>
              <w:rPr>
                <w:rFonts w:ascii="Arial" w:cs="Arial" w:eastAsia="Arial" w:hAnsi="Arial"/>
                <w:sz w:val="19"/>
                <w:szCs w:val="19"/>
              </w:rPr>
              <w:t xml:space="preserve"> </w:t>
            </w:r>
            <w:r>
              <w:rPr>
                <w:rFonts w:ascii="Arial" w:cs="Arial" w:eastAsia="Arial" w:hAnsi="Arial"/>
                <w:sz w:val="19"/>
                <w:szCs w:val="19"/>
                <w:u w:val="single"/>
              </w:rPr>
              <w:t xml:space="preserve">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p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rPr>
              <w:t xml:space="preserve"> </w:t>
            </w:r>
            <w:r>
              <w:rPr>
                <w:rFonts w:ascii="Arial" w:cs="Arial" w:eastAsia="Arial" w:hAnsi="Arial"/>
                <w:sz w:val="19"/>
                <w:szCs w:val="19"/>
                <w:u w:val="single"/>
              </w:rPr>
              <w:t xml:space="preserve">Posibilidad de pérdida derivada de que el proveedor no cumpla sus obligaciones contractuales por deterioro de su solvencia financiera, incluyendo la pérdida de anticipos, depósitos en garantía, licencias prepagadas u otros recursos entregados por la Cooperativa.</w:t>
            </w:r>
          </w:p>
          <w:p>
            <w:p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rPr>
              <w:t xml:space="preserve"> </w:t>
            </w:r>
            <w:r>
              <w:rPr>
                <w:rFonts w:ascii="Arial" w:cs="Arial" w:eastAsia="Arial" w:hAnsi="Arial"/>
                <w:sz w:val="19"/>
                <w:szCs w:val="19"/>
                <w:u w:val="single"/>
              </w:rPr>
              <w:t xml:space="preserve">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pPr>
              <w:spacing w:after="80" w:line="264"/>
              <w:jc w:val="both"/>
            </w:pPr>
            <w:r>
              <w:rPr>
                <w:rFonts w:ascii="Arial" w:cs="Arial" w:eastAsia="Arial" w:hAnsi="Arial"/>
                <w:b/>
                <w:bCs/>
                <w:sz w:val="19"/>
                <w:szCs w:val="19"/>
                <w:u w:val="single"/>
              </w:rPr>
              <w:t xml:space="preserve">Plan de Salida (Estrategia de Salida / Exit Strategy):</w:t>
            </w:r>
            <w:r>
              <w:rPr>
                <w:rFonts w:ascii="Arial" w:cs="Arial" w:eastAsia="Arial" w:hAnsi="Arial"/>
                <w:sz w:val="19"/>
                <w:szCs w:val="19"/>
              </w:rPr>
              <w:t xml:space="preserve"> </w:t>
            </w:r>
            <w:r>
              <w:rPr>
                <w:rFonts w:ascii="Arial" w:cs="Arial" w:eastAsia="Arial" w:hAnsi="Arial"/>
                <w:sz w:val="19"/>
                <w:szCs w:val="19"/>
                <w:u w:val="single"/>
              </w:rPr>
              <w:t xml:space="preserve">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pPr>
              <w:spacing w:after="80" w:line="264"/>
              <w:jc w:val="both"/>
            </w:pPr>
            <w:r>
              <w:rPr>
                <w:rFonts w:ascii="Arial" w:cs="Arial" w:eastAsia="Arial" w:hAnsi="Arial"/>
                <w:b/>
                <w:bCs/>
                <w:sz w:val="19"/>
                <w:szCs w:val="19"/>
                <w:u w:val="single"/>
              </w:rPr>
              <w:t xml:space="preserve">Retransición (Transición de Salida):</w:t>
            </w:r>
            <w:r>
              <w:rPr>
                <w:rFonts w:ascii="Arial" w:cs="Arial" w:eastAsia="Arial" w:hAnsi="Arial"/>
                <w:sz w:val="19"/>
                <w:szCs w:val="19"/>
              </w:rPr>
              <w:t xml:space="preserve"> </w:t>
            </w:r>
            <w:r>
              <w:rPr>
                <w:rFonts w:ascii="Arial" w:cs="Arial" w:eastAsia="Arial" w:hAnsi="Arial"/>
                <w:sz w:val="19"/>
                <w:szCs w:val="19"/>
                <w:u w:val="single"/>
              </w:rPr>
              <w:t xml:space="preserve">Periodo y conjunto de actividades mediante las cuales el proveedor saliente transfiere de forma asistida el servicio, los datos, la documentación y el conocimiento a la Cooperativa o a un nuevo proveedor.</w:t>
            </w:r>
          </w:p>
          <w:p>
            <w:pPr>
              <w:spacing w:after="80" w:line="264"/>
              <w:jc w:val="both"/>
            </w:pPr>
            <w:r>
              <w:rPr>
                <w:rFonts w:ascii="Arial" w:cs="Arial" w:eastAsia="Arial" w:hAnsi="Arial"/>
                <w:b/>
                <w:bCs/>
                <w:sz w:val="19"/>
                <w:szCs w:val="19"/>
                <w:u w:val="single"/>
              </w:rPr>
              <w:t xml:space="preserve">Subcontratista (Cadena de Suministro):</w:t>
            </w:r>
            <w:r>
              <w:rPr>
                <w:rFonts w:ascii="Arial" w:cs="Arial" w:eastAsia="Arial" w:hAnsi="Arial"/>
                <w:sz w:val="19"/>
                <w:szCs w:val="19"/>
              </w:rPr>
              <w:t xml:space="preserve"> </w:t>
            </w:r>
            <w:r>
              <w:rPr>
                <w:rFonts w:ascii="Arial" w:cs="Arial" w:eastAsia="Arial" w:hAnsi="Arial"/>
                <w:sz w:val="19"/>
                <w:szCs w:val="19"/>
                <w:u w:val="single"/>
              </w:rPr>
              <w:t xml:space="preserve">Persona natural o jurídica a quien el proveedor delega total o parcialmente la prestación del servicio contratado por la Cooperativa.</w:t>
            </w:r>
          </w:p>
          <w:p>
            <w:pPr>
              <w:spacing w:after="80" w:line="264"/>
              <w:jc w:val="both"/>
            </w:pPr>
            <w:r>
              <w:rPr>
                <w:rFonts w:ascii="Arial" w:cs="Arial" w:eastAsia="Arial" w:hAnsi="Arial"/>
                <w:b/>
                <w:bCs/>
                <w:sz w:val="19"/>
                <w:szCs w:val="19"/>
                <w:u w:val="single"/>
              </w:rPr>
              <w:t xml:space="preserve">Acuerdo de Niveles de Servicio (ANS/SLA):</w:t>
            </w:r>
            <w:r>
              <w:rPr>
                <w:rFonts w:ascii="Arial" w:cs="Arial" w:eastAsia="Arial" w:hAnsi="Arial"/>
                <w:sz w:val="19"/>
                <w:szCs w:val="19"/>
              </w:rPr>
              <w:t xml:space="preserve"> </w:t>
            </w:r>
            <w:r>
              <w:rPr>
                <w:rFonts w:ascii="Arial" w:cs="Arial" w:eastAsia="Arial" w:hAnsi="Arial"/>
                <w:sz w:val="19"/>
                <w:szCs w:val="19"/>
                <w:u w:val="single"/>
              </w:rPr>
              <w:t xml:space="preserve">Compromisos medibles de calidad, disponibilidad, capacidad, tiempos de respuesta y de recuperación pactados con el proveedor, en condiciones normales y de contingencia.</w:t>
            </w:r>
          </w:p>
          <w:p>
            <w:pPr>
              <w:spacing w:after="80" w:line="264"/>
              <w:jc w:val="both"/>
            </w:pPr>
            <w:r>
              <w:rPr>
                <w:rFonts w:ascii="Arial" w:cs="Arial" w:eastAsia="Arial" w:hAnsi="Arial"/>
                <w:b/>
                <w:bCs/>
                <w:sz w:val="19"/>
                <w:szCs w:val="19"/>
                <w:u w:val="single"/>
              </w:rPr>
              <w:t xml:space="preserve">Tiempo Objetivo de Recuperación (RTO), Punto Objetivo de Recuperación (RPO) y Tiempo Máximo de Interrupción Tolerable (MTPD):</w:t>
            </w:r>
            <w:r>
              <w:rPr>
                <w:rFonts w:ascii="Arial" w:cs="Arial" w:eastAsia="Arial" w:hAnsi="Arial"/>
                <w:sz w:val="19"/>
                <w:szCs w:val="19"/>
              </w:rPr>
              <w:t xml:space="preserve"> </w:t>
            </w:r>
            <w:r>
              <w:rPr>
                <w:rFonts w:ascii="Arial" w:cs="Arial" w:eastAsia="Arial" w:hAnsi="Arial"/>
                <w:sz w:val="19"/>
                <w:szCs w:val="19"/>
                <w:u w:val="single"/>
              </w:rPr>
              <w:t xml:space="preserve">Parámetros definidos en el BIA (NRP-24) que el servicio tercerizado y el plan de continuidad del proveedor deben cumplir.</w:t>
            </w:r>
          </w:p>
          <w:p>
            <w:pPr>
              <w:spacing w:after="80" w:line="264"/>
              <w:jc w:val="both"/>
            </w:pPr>
            <w:r>
              <w:rPr>
                <w:rFonts w:ascii="Arial" w:cs="Arial" w:eastAsia="Arial" w:hAnsi="Arial"/>
                <w:b/>
                <w:bCs/>
                <w:sz w:val="19"/>
                <w:szCs w:val="19"/>
                <w:u w:val="single"/>
              </w:rPr>
              <w:t xml:space="preserve">Servicios en la Nube:</w:t>
            </w:r>
            <w:r>
              <w:rPr>
                <w:rFonts w:ascii="Arial" w:cs="Arial" w:eastAsia="Arial" w:hAnsi="Arial"/>
                <w:sz w:val="19"/>
                <w:szCs w:val="19"/>
              </w:rPr>
              <w:t xml:space="preserve"> </w:t>
            </w:r>
            <w:r>
              <w:rPr>
                <w:rFonts w:ascii="Arial" w:cs="Arial" w:eastAsia="Arial" w:hAnsi="Arial"/>
                <w:sz w:val="19"/>
                <w:szCs w:val="19"/>
                <w:u w:val="single"/>
              </w:rPr>
              <w:t xml:space="preserve">Modelo de prestación de servicios tecnológicos (infraestructura, plataforma o software) por medio de recursos compartidos de un proveedor, accesibles a través de redes.</w:t>
            </w:r>
          </w:p>
          <w:p>
            <w:pPr>
              <w:spacing w:after="80" w:line="264"/>
              <w:jc w:val="both"/>
            </w:pPr>
            <w:r>
              <w:rPr>
                <w:rFonts w:ascii="Arial" w:cs="Arial" w:eastAsia="Arial" w:hAnsi="Arial"/>
                <w:b/>
                <w:bCs/>
                <w:sz w:val="19"/>
                <w:szCs w:val="19"/>
                <w:u w:val="single"/>
              </w:rPr>
              <w:t xml:space="preserve">Apetito y Tolerancia al Riesgo:</w:t>
            </w:r>
            <w:r>
              <w:rPr>
                <w:rFonts w:ascii="Arial" w:cs="Arial" w:eastAsia="Arial" w:hAnsi="Arial"/>
                <w:sz w:val="19"/>
                <w:szCs w:val="19"/>
              </w:rPr>
              <w:t xml:space="preserve"> </w:t>
            </w:r>
            <w:r>
              <w:rPr>
                <w:rFonts w:ascii="Arial" w:cs="Arial" w:eastAsia="Arial" w:hAnsi="Arial"/>
                <w:sz w:val="19"/>
                <w:szCs w:val="19"/>
                <w:u w:val="single"/>
              </w:rPr>
              <w:t xml:space="preserve">Nivel de riesgo que la Cooperativa está dispuesta a asumir, y su desviación máxima aceptable, aprobados por el Consejo de Administración conforme a la NRP-20 y la NRP-17.</w:t>
            </w:r>
          </w:p>
          <w:p>
            <w:pPr>
              <w:spacing w:after="80" w:line="264"/>
              <w:jc w:val="both"/>
            </w:pPr>
            <w:r>
              <w:rPr>
                <w:rFonts w:ascii="Arial" w:cs="Arial" w:eastAsia="Arial" w:hAnsi="Arial"/>
                <w:b/>
                <w:bCs/>
                <w:sz w:val="19"/>
                <w:szCs w:val="19"/>
                <w:u w:val="single"/>
              </w:rPr>
              <w:t xml:space="preserve">Matriz Centralizada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Registro consolidado y actualizado de todos los servicios críticos tercerizados, con los campos mínimos establecidos en la NRP-42 y los adicionales definidos en la presente política.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IV. RESPONSABILIDADES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Es el responsable de la aprobación de la presente Política para la Contratación de Servicios Críticos Tercerizados, así como </w:t>
            </w:r>
            <w:r>
              <w:rPr>
                <w:rFonts w:ascii="Arial" w:cs="Arial" w:eastAsia="Arial" w:hAnsi="Arial"/>
                <w:strike/>
                <w:sz w:val="19"/>
                <w:szCs w:val="19"/>
              </w:rPr>
              <w:t xml:space="preserve">las</w:t>
            </w:r>
            <w:r>
              <w:rPr>
                <w:rFonts w:ascii="Arial" w:cs="Arial" w:eastAsia="Arial" w:hAnsi="Arial"/>
                <w:sz w:val="19"/>
                <w:szCs w:val="19"/>
              </w:rPr>
              <w:t xml:space="preserve"> actualizaciones.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Es el responsable de la aprobación de la presente Política para la Contratación de Servicios Críticos Tercerizados, así como </w:t>
            </w:r>
            <w:r>
              <w:rPr>
                <w:rFonts w:ascii="Arial" w:cs="Arial" w:eastAsia="Arial" w:hAnsi="Arial"/>
                <w:sz w:val="19"/>
                <w:szCs w:val="19"/>
                <w:u w:val="single"/>
              </w:rPr>
              <w:t xml:space="preserve">de sus</w:t>
            </w:r>
            <w:r>
              <w:rPr>
                <w:rFonts w:ascii="Arial" w:cs="Arial" w:eastAsia="Arial" w:hAnsi="Arial"/>
                <w:sz w:val="19"/>
                <w:szCs w:val="19"/>
              </w:rPr>
              <w:t xml:space="preserve"> actualizaciones.</w:t>
            </w:r>
          </w:p>
          <w:p>
            <w:pPr>
              <w:spacing w:after="80" w:line="264"/>
              <w:jc w:val="both"/>
            </w:pPr>
            <w:r>
              <w:rPr>
                <w:rFonts w:ascii="Arial" w:cs="Arial" w:eastAsia="Arial" w:hAnsi="Arial"/>
                <w:sz w:val="19"/>
                <w:szCs w:val="19"/>
                <w:u w:val="single"/>
              </w:rPr>
              <w:t xml:space="preserve">b) Aprobar el apetito y la tolerancia al riesgo aplicables a la tercerización, incluyendo los límites de concentración por proveedor y los criterios de exposición de contraparte (NRP-20, NRP-17).</w:t>
            </w:r>
          </w:p>
          <w:p>
            <w:pPr>
              <w:spacing w:after="80" w:line="264"/>
              <w:jc w:val="both"/>
            </w:pPr>
            <w:r>
              <w:rPr>
                <w:rFonts w:ascii="Arial" w:cs="Arial" w:eastAsia="Arial" w:hAnsi="Arial"/>
                <w:sz w:val="19"/>
                <w:szCs w:val="19"/>
                <w:u w:val="single"/>
              </w:rPr>
              <w:t xml:space="preserve">c) Aprobar la contratación, renovación o sustitución de servicios críticos tercerizados de alto impacto y de sistemas informáticos principales, con base en la opinión del Comité de Riesgos.</w:t>
            </w:r>
          </w:p>
          <w:p>
            <w:pPr>
              <w:spacing w:after="80" w:line="264"/>
              <w:jc w:val="both"/>
            </w:pPr>
            <w:r>
              <w:rPr>
                <w:rFonts w:ascii="Arial" w:cs="Arial" w:eastAsia="Arial" w:hAnsi="Arial"/>
                <w:sz w:val="19"/>
                <w:szCs w:val="19"/>
                <w:u w:val="single"/>
              </w:rPr>
              <w:t xml:space="preserve">d) Conocer, al menos anualmente, el informe consolidado sobre los proveedores de servicios críticos tercerizados, su nivel de riesgo, concentración, cumplimiento de niveles de servicio, resultados de pruebas de continuidad y estado de los Planes de Salida.</w:t>
            </w:r>
          </w:p>
          <w:p>
            <w:pPr>
              <w:spacing w:after="80" w:line="264"/>
              <w:jc w:val="both"/>
            </w:pPr>
            <w:r>
              <w:rPr>
                <w:rFonts w:ascii="Arial" w:cs="Arial" w:eastAsia="Arial" w:hAnsi="Arial"/>
                <w:sz w:val="19"/>
                <w:szCs w:val="19"/>
                <w:u w:val="single"/>
              </w:rPr>
              <w:t xml:space="preserve">e) Aprobar las excepciones a la presente política, previa opinión del Comité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w:t>
            </w:r>
            <w:r>
              <w:rPr>
                <w:rFonts w:ascii="Arial" w:cs="Arial" w:eastAsia="Arial" w:hAnsi="Arial"/>
                <w:b/>
                <w:bCs/>
                <w:strike/>
                <w:sz w:val="19"/>
                <w:szCs w:val="19"/>
              </w:rPr>
              <w:t xml:space="preserve">Administración de</w:t>
            </w:r>
            <w:r>
              <w:rPr>
                <w:rFonts w:ascii="Arial" w:cs="Arial" w:eastAsia="Arial" w:hAnsi="Arial"/>
                <w:b/>
                <w:bCs/>
                <w:sz w:val="19"/>
                <w:szCs w:val="19"/>
              </w:rPr>
              <w:t xml:space="preserve"> Riesgos</w:t>
            </w:r>
          </w:p>
          <w:p>
            <w:pPr>
              <w:spacing w:after="80" w:line="264"/>
              <w:jc w:val="both"/>
            </w:pPr>
            <w:r>
              <w:rPr>
                <w:rFonts w:ascii="Arial" w:cs="Arial" w:eastAsia="Arial" w:hAnsi="Arial"/>
                <w:sz w:val="19"/>
                <w:szCs w:val="19"/>
              </w:rPr>
              <w:t xml:space="preserve">Evaluar, revisar y proponer al Consejo de Administración, la presente política y su actualización.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Riesgos</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Evaluar, revisar y proponer al Consejo de Administración la presente política y su actualización.</w:t>
            </w:r>
          </w:p>
          <w:p>
            <w:pPr>
              <w:spacing w:after="80" w:line="264"/>
              <w:jc w:val="both"/>
            </w:pPr>
            <w:r>
              <w:rPr>
                <w:rFonts w:ascii="Arial" w:cs="Arial" w:eastAsia="Arial" w:hAnsi="Arial"/>
                <w:sz w:val="19"/>
                <w:szCs w:val="19"/>
                <w:u w:val="single"/>
              </w:rPr>
              <w:t xml:space="preserve">b) Proponer al Consejo de Administración los límites de concentración de proveedores y los criterios de exposición de contraparte e impacto en liquidez aplicables a los servicios críticos tercerizados.</w:t>
            </w:r>
          </w:p>
          <w:p>
            <w:pPr>
              <w:spacing w:after="80" w:line="264"/>
              <w:jc w:val="both"/>
            </w:pPr>
            <w:r>
              <w:rPr>
                <w:rFonts w:ascii="Arial" w:cs="Arial" w:eastAsia="Arial" w:hAnsi="Arial"/>
                <w:sz w:val="19"/>
                <w:szCs w:val="19"/>
                <w:u w:val="single"/>
              </w:rPr>
              <w:t xml:space="preserve">c) 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pPr>
              <w:spacing w:after="80" w:line="264"/>
              <w:jc w:val="both"/>
            </w:pPr>
            <w:r>
              <w:rPr>
                <w:rFonts w:ascii="Arial" w:cs="Arial" w:eastAsia="Arial" w:hAnsi="Arial"/>
                <w:sz w:val="19"/>
                <w:szCs w:val="19"/>
                <w:u w:val="single"/>
              </w:rPr>
              <w:t xml:space="preserve">d) Dar seguimiento semestral a los indicadores clave de riesgo (KRI) de tercerización, eventos de riesgo operacional originados en proveedores, brechas de seguridad y planes de acción.</w:t>
            </w:r>
          </w:p>
          <w:p>
            <w:pPr>
              <w:spacing w:after="80" w:line="264"/>
              <w:jc w:val="both"/>
            </w:pPr>
            <w:r>
              <w:rPr>
                <w:rFonts w:ascii="Arial" w:cs="Arial" w:eastAsia="Arial" w:hAnsi="Arial"/>
                <w:sz w:val="19"/>
                <w:szCs w:val="19"/>
                <w:u w:val="single"/>
              </w:rPr>
              <w:t xml:space="preserve">e) Conocer y validar los Planes de Salida de los servicios críticos tercerizados de alto impacto y los resultados de sus pruebas.</w:t>
            </w:r>
          </w:p>
          <w:p>
            <w:pPr>
              <w:spacing w:after="80" w:line="264"/>
              <w:jc w:val="both"/>
            </w:pPr>
            <w:r>
              <w:rPr>
                <w:rFonts w:ascii="Arial" w:cs="Arial" w:eastAsia="Arial" w:hAnsi="Arial"/>
                <w:sz w:val="19"/>
                <w:szCs w:val="19"/>
                <w:u w:val="single"/>
              </w:rPr>
              <w:t xml:space="preserve">f) Informar al Consejo de Administración sobre las exposiciones relevantes y desviaciones a los límites aprobados.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Es el responsable de la implementación de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Es el responsable de la implementación de la presente Política.</w:t>
            </w:r>
          </w:p>
          <w:p>
            <w:pPr>
              <w:spacing w:after="80" w:line="264"/>
              <w:jc w:val="both"/>
            </w:pPr>
            <w:r>
              <w:rPr>
                <w:rFonts w:ascii="Arial" w:cs="Arial" w:eastAsia="Arial" w:hAnsi="Arial"/>
                <w:sz w:val="19"/>
                <w:szCs w:val="19"/>
                <w:u w:val="single"/>
              </w:rPr>
              <w:t xml:space="preserve">b) Asegurar que las áreas cuenten con los recursos necesarios para la gestión, monitoreo y salida ordenada de los servicios críticos tercerizados.</w:t>
            </w:r>
          </w:p>
          <w:p>
            <w:pPr>
              <w:spacing w:after="80" w:line="264"/>
              <w:jc w:val="both"/>
            </w:pPr>
            <w:r>
              <w:rPr>
                <w:rFonts w:ascii="Arial" w:cs="Arial" w:eastAsia="Arial" w:hAnsi="Arial"/>
                <w:sz w:val="19"/>
                <w:szCs w:val="19"/>
                <w:u w:val="single"/>
              </w:rPr>
              <w:t xml:space="preserve">c) Velar porque ningún servicio crítico tercerizado sea contratado sin contar con la evaluación de riesgos, la opinión de seguridad de la información, el análisis financiero del proveedor y el Plan de Salida correspondientes.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trike/>
                <w:sz w:val="19"/>
                <w:szCs w:val="19"/>
              </w:rPr>
              <w:t xml:space="preserve">contar con</w:t>
            </w:r>
            <w:r>
              <w:rPr>
                <w:rFonts w:ascii="Arial" w:cs="Arial" w:eastAsia="Arial" w:hAnsi="Arial"/>
                <w:sz w:val="19"/>
                <w:szCs w:val="19"/>
              </w:rPr>
              <w:t xml:space="preserve"> programas anuales de pruebas de continuidad del negocio y resultado </w:t>
            </w:r>
            <w:r>
              <w:rPr>
                <w:rFonts w:ascii="Arial" w:cs="Arial" w:eastAsia="Arial" w:hAnsi="Arial"/>
                <w:strike/>
                <w:sz w:val="19"/>
                <w:szCs w:val="19"/>
              </w:rPr>
              <w:t xml:space="preserve">de las pruebas</w:t>
            </w:r>
            <w:r>
              <w:rPr>
                <w:rFonts w:ascii="Arial" w:cs="Arial" w:eastAsia="Arial" w:hAnsi="Arial"/>
                <w:sz w:val="19"/>
                <w:szCs w:val="19"/>
              </w:rPr>
              <w:t xml:space="preserve"> de las mismas y de seguridad de la información y ciberseguridad.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r>
              <w:rPr>
                <w:rFonts w:ascii="Arial" w:cs="Arial" w:eastAsia="Arial" w:hAnsi="Arial"/>
                <w:sz w:val="19"/>
                <w:szCs w:val="19"/>
                <w:u w:val="single"/>
              </w:rPr>
              <w:t xml:space="preserve">, así como su reevaluación anual o ante cambios significativos en el servicio o en el proveedor.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z w:val="19"/>
                <w:szCs w:val="19"/>
                <w:u w:val="single"/>
              </w:rPr>
              <w:t xml:space="preserve">tales como</w:t>
            </w:r>
            <w:r>
              <w:rPr>
                <w:rFonts w:ascii="Arial" w:cs="Arial" w:eastAsia="Arial" w:hAnsi="Arial"/>
                <w:sz w:val="19"/>
                <w:szCs w:val="19"/>
              </w:rPr>
              <w:t xml:space="preserve"> programas anuales de pruebas de continuidad del negocio y resultado</w:t>
            </w:r>
            <w:r>
              <w:rPr>
                <w:rFonts w:ascii="Arial" w:cs="Arial" w:eastAsia="Arial" w:hAnsi="Arial"/>
                <w:sz w:val="19"/>
                <w:szCs w:val="19"/>
                <w:u w:val="single"/>
              </w:rPr>
              <w:t xml:space="preserve">s</w:t>
            </w:r>
            <w:r>
              <w:rPr>
                <w:rFonts w:ascii="Arial" w:cs="Arial" w:eastAsia="Arial" w:hAnsi="Arial"/>
                <w:sz w:val="19"/>
                <w:szCs w:val="19"/>
              </w:rPr>
              <w:t xml:space="preserve"> de las mismas, y de seguridad de la información y ciberseguridad.</w:t>
            </w:r>
          </w:p>
          <w:p>
            <w:pPr>
              <w:spacing w:after="80" w:line="264"/>
              <w:jc w:val="both"/>
            </w:pPr>
            <w:r>
              <w:rPr>
                <w:rFonts w:ascii="Arial" w:cs="Arial" w:eastAsia="Arial" w:hAnsi="Arial"/>
                <w:sz w:val="19"/>
                <w:szCs w:val="19"/>
                <w:u w:val="single"/>
              </w:rPr>
              <w:t xml:space="preserve">d) 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pPr>
              <w:spacing w:after="80" w:line="264"/>
              <w:jc w:val="both"/>
            </w:pPr>
            <w:r>
              <w:rPr>
                <w:rFonts w:ascii="Arial" w:cs="Arial" w:eastAsia="Arial" w:hAnsi="Arial"/>
                <w:sz w:val="19"/>
                <w:szCs w:val="19"/>
                <w:u w:val="single"/>
              </w:rPr>
              <w:t xml:space="preserve">e) Mantener actualizado el análisis de concentración de proveedores (por proveedor, grupo económico, subcontratista, tecnología y ubicación geográfica) y reportar al Comité de Riesgos las exposiciones que superen los límites aprobados.</w:t>
            </w:r>
          </w:p>
          <w:p>
            <w:pPr>
              <w:spacing w:after="80" w:line="264"/>
              <w:jc w:val="both"/>
            </w:pPr>
            <w:r>
              <w:rPr>
                <w:rFonts w:ascii="Arial" w:cs="Arial" w:eastAsia="Arial" w:hAnsi="Arial"/>
                <w:sz w:val="19"/>
                <w:szCs w:val="19"/>
                <w:u w:val="single"/>
              </w:rPr>
              <w:t xml:space="preserve">f) Definir, calcular y reportar semestralmente al Comité de Riesgos los indicadores clave de riesgo (KRI) de tercerización.</w:t>
            </w:r>
          </w:p>
          <w:p>
            <w:pPr>
              <w:spacing w:after="80" w:line="264"/>
              <w:jc w:val="both"/>
            </w:pPr>
            <w:r>
              <w:rPr>
                <w:rFonts w:ascii="Arial" w:cs="Arial" w:eastAsia="Arial" w:hAnsi="Arial"/>
                <w:sz w:val="19"/>
                <w:szCs w:val="19"/>
                <w:u w:val="single"/>
              </w:rPr>
              <w:t xml:space="preserve">g) Registrar en la base de datos de eventos de riesgo operacional las pérdidas e incidentes originados en proveedores de servicios críticos tercerizados (NRP-42).</w:t>
            </w:r>
          </w:p>
          <w:p>
            <w:pPr>
              <w:spacing w:after="80" w:line="264"/>
              <w:jc w:val="both"/>
            </w:pPr>
            <w:r>
              <w:rPr>
                <w:rFonts w:ascii="Arial" w:cs="Arial" w:eastAsia="Arial" w:hAnsi="Arial"/>
                <w:sz w:val="19"/>
                <w:szCs w:val="19"/>
                <w:u w:val="single"/>
              </w:rPr>
              <w:t xml:space="preserve">h) Revisar y validar, en coordinación con el responsable de Continuidad del Negocio, los Planes de Salida de los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que los servicios críticos de tecnología a contratar cumplan con las condiciones establecidas en la NRP-23.</w:t>
            </w:r>
          </w:p>
          <w:p>
            <w:pPr>
              <w:spacing w:after="80" w:line="264"/>
              <w:jc w:val="both"/>
            </w:pPr>
            <w:r>
              <w:rPr>
                <w:rFonts w:ascii="Arial" w:cs="Arial" w:eastAsia="Arial" w:hAnsi="Arial"/>
                <w:sz w:val="19"/>
                <w:szCs w:val="19"/>
              </w:rPr>
              <w:t xml:space="preserve">b) Dar seguimiento a los planes de acción que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de la presente política</w:t>
            </w:r>
            <w:r>
              <w:rPr>
                <w:rFonts w:ascii="Arial" w:cs="Arial" w:eastAsia="Arial" w:hAnsi="Arial"/>
                <w:strike/>
                <w:sz w:val="19"/>
                <w:szCs w:val="19"/>
              </w:rPr>
              <w:t xml:space="preserve">, referidas en las Normas Técnicas para la Gestión de la Seguridad de la Información (NRP-23)</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w:t>
            </w:r>
            <w:r>
              <w:rPr>
                <w:rFonts w:ascii="Arial" w:cs="Arial" w:eastAsia="Arial" w:hAnsi="Arial"/>
                <w:sz w:val="19"/>
                <w:szCs w:val="19"/>
                <w:u w:val="single"/>
              </w:rPr>
              <w:t xml:space="preserve">sobre</w:t>
            </w:r>
            <w:r>
              <w:rPr>
                <w:rFonts w:ascii="Arial" w:cs="Arial" w:eastAsia="Arial" w:hAnsi="Arial"/>
                <w:sz w:val="19"/>
                <w:szCs w:val="19"/>
              </w:rPr>
              <w:t xml:space="preserve"> que los servicios críticos de tecnología a contratar cumplan con las condiciones establecidas en la NRP-23 </w:t>
            </w:r>
            <w:r>
              <w:rPr>
                <w:rFonts w:ascii="Arial" w:cs="Arial" w:eastAsia="Arial" w:hAnsi="Arial"/>
                <w:sz w:val="19"/>
                <w:szCs w:val="19"/>
                <w:u w:val="single"/>
              </w:rPr>
              <w:t xml:space="preserve">y con los requerimientos de gestión del riesgo tecnológico de la NRP-20.</w:t>
            </w:r>
          </w:p>
          <w:p>
            <w:pPr>
              <w:spacing w:after="80" w:line="264"/>
              <w:jc w:val="both"/>
            </w:pPr>
            <w:r>
              <w:rPr>
                <w:rFonts w:ascii="Arial" w:cs="Arial" w:eastAsia="Arial" w:hAnsi="Arial"/>
                <w:sz w:val="19"/>
                <w:szCs w:val="19"/>
              </w:rPr>
              <w:t xml:space="preserve">b) Dar seguimiento a los planes de acción que se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 de la presente política.</w:t>
            </w:r>
          </w:p>
          <w:p>
            <w:pPr>
              <w:spacing w:after="80" w:line="264"/>
              <w:jc w:val="both"/>
            </w:pPr>
            <w:r>
              <w:rPr>
                <w:rFonts w:ascii="Arial" w:cs="Arial" w:eastAsia="Arial" w:hAnsi="Arial"/>
                <w:sz w:val="19"/>
                <w:szCs w:val="19"/>
                <w:u w:val="single"/>
              </w:rPr>
              <w:t xml:space="preserve">d) Evaluar los controles de seguridad del proveedor (cifrado, gestión de accesos, segregación de datos, gestión de vulnerabilidades, registro de eventos y ubicación de los datos), con especial atención a servicios en la nube y subcontratistas.</w:t>
            </w:r>
          </w:p>
          <w:p>
            <w:pPr>
              <w:spacing w:after="80" w:line="264"/>
              <w:jc w:val="both"/>
            </w:pPr>
            <w:r>
              <w:rPr>
                <w:rFonts w:ascii="Arial" w:cs="Arial" w:eastAsia="Arial" w:hAnsi="Arial"/>
                <w:sz w:val="19"/>
                <w:szCs w:val="19"/>
                <w:u w:val="single"/>
              </w:rPr>
              <w:t xml:space="preserve">e) Verificar, al menos anualmente, las certificaciones o informes de auditoría independiente del proveedor (p. ej. ISO/IEC 27001, SOC 2) y los resultados de sus pruebas de vulnerabilidad.</w:t>
            </w:r>
          </w:p>
          <w:p>
            <w:pPr>
              <w:spacing w:after="80" w:line="264"/>
              <w:jc w:val="both"/>
            </w:pPr>
            <w:r>
              <w:rPr>
                <w:rFonts w:ascii="Arial" w:cs="Arial" w:eastAsia="Arial" w:hAnsi="Arial"/>
                <w:sz w:val="19"/>
                <w:szCs w:val="19"/>
                <w:u w:val="single"/>
              </w:rPr>
              <w:t xml:space="preserve">f) Coordinar la respuesta ante incidentes de seguridad originados en el proveedor, incluida la revocación de accesos y la comunicación a la Superintendencia en los plazos regulatorios.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Sistemas / Tecnología de la Información</w:t>
            </w:r>
          </w:p>
          <w:p>
            <w:pPr>
              <w:spacing w:after="80" w:line="264"/>
              <w:jc w:val="both"/>
            </w:pPr>
            <w:r>
              <w:rPr>
                <w:rFonts w:ascii="Arial" w:cs="Arial" w:eastAsia="Arial" w:hAnsi="Arial"/>
                <w:sz w:val="19"/>
                <w:szCs w:val="19"/>
                <w:u w:val="single"/>
              </w:rPr>
              <w:t xml:space="preserve">a) Evaluar técnicamente la arquitectura, integración, capacidad, dependencias y obsolescencia de las soluciones tecnológicas a tercerizar, como parte de la gestión del riesgo tecnológico (NRP-20).</w:t>
            </w:r>
          </w:p>
          <w:p>
            <w:pPr>
              <w:spacing w:after="80" w:line="264"/>
              <w:jc w:val="both"/>
            </w:pPr>
            <w:r>
              <w:rPr>
                <w:rFonts w:ascii="Arial" w:cs="Arial" w:eastAsia="Arial" w:hAnsi="Arial"/>
                <w:sz w:val="19"/>
                <w:szCs w:val="19"/>
                <w:u w:val="single"/>
              </w:rPr>
              <w:t xml:space="preserve">b) Definir los requisitos técnicos de portabilidad e interoperabilidad de datos y de reversibilidad del servicio, para evitar dependencia tecnológica excesiva (lock-in).</w:t>
            </w:r>
          </w:p>
          <w:p>
            <w:pPr>
              <w:spacing w:after="80" w:line="264"/>
              <w:jc w:val="both"/>
            </w:pPr>
            <w:r>
              <w:rPr>
                <w:rFonts w:ascii="Arial" w:cs="Arial" w:eastAsia="Arial" w:hAnsi="Arial"/>
                <w:sz w:val="19"/>
                <w:szCs w:val="19"/>
                <w:u w:val="single"/>
              </w:rPr>
              <w:t xml:space="preserve">c) Elaborar el componente tecnológico del Plan de Salida y del plan de migración o retorno (rollback).</w:t>
            </w:r>
          </w:p>
          <w:p>
            <w:pPr>
              <w:spacing w:after="80" w:line="264"/>
              <w:jc w:val="both"/>
            </w:pPr>
            <w:r>
              <w:rPr>
                <w:rFonts w:ascii="Arial" w:cs="Arial" w:eastAsia="Arial" w:hAnsi="Arial"/>
                <w:sz w:val="19"/>
                <w:szCs w:val="19"/>
                <w:u w:val="single"/>
              </w:rPr>
              <w:t xml:space="preserve">d) Monitorear la disponibilidad y desempeño técnico de los servicios tecnológicos tercerizados frente a los ANS pactados.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Responsable del Sistema de Gestión de la Continuidad del Negocio</w:t>
            </w:r>
          </w:p>
          <w:p>
            <w:pPr>
              <w:spacing w:after="80" w:line="264"/>
              <w:jc w:val="both"/>
            </w:pPr>
            <w:r>
              <w:rPr>
                <w:rFonts w:ascii="Arial" w:cs="Arial" w:eastAsia="Arial" w:hAnsi="Arial"/>
                <w:sz w:val="19"/>
                <w:szCs w:val="19"/>
                <w:u w:val="single"/>
              </w:rPr>
              <w:t xml:space="preserve">a) Incorporar a los proveedores de servicios críticos tercerizados en el Análisis de Impacto al Negocio (BIA) y en la evaluación de riesgos de continuidad (NRP-24).</w:t>
            </w:r>
          </w:p>
          <w:p>
            <w:pPr>
              <w:spacing w:after="80" w:line="264"/>
              <w:jc w:val="both"/>
            </w:pPr>
            <w:r>
              <w:rPr>
                <w:rFonts w:ascii="Arial" w:cs="Arial" w:eastAsia="Arial" w:hAnsi="Arial"/>
                <w:sz w:val="19"/>
                <w:szCs w:val="19"/>
                <w:u w:val="single"/>
              </w:rPr>
              <w:t xml:space="preserve">b) Verificar que el RTO, RPO y capacidades de recuperación del proveedor sean consistentes con los requerimientos de los procesos críticos de la Cooperativa.</w:t>
            </w:r>
          </w:p>
          <w:p>
            <w:pPr>
              <w:spacing w:after="80" w:line="264"/>
              <w:jc w:val="both"/>
            </w:pPr>
            <w:r>
              <w:rPr>
                <w:rFonts w:ascii="Arial" w:cs="Arial" w:eastAsia="Arial" w:hAnsi="Arial"/>
                <w:sz w:val="19"/>
                <w:szCs w:val="19"/>
                <w:u w:val="single"/>
              </w:rPr>
              <w:t xml:space="preserve">c) Coordinar la realización de pruebas conjuntas de continuidad con los proveedores críticos, al menos una vez al año, y documentar sus resultados y planes de acción.</w:t>
            </w:r>
          </w:p>
          <w:p>
            <w:pPr>
              <w:spacing w:after="80" w:line="264"/>
              <w:jc w:val="both"/>
            </w:pPr>
            <w:r>
              <w:rPr>
                <w:rFonts w:ascii="Arial" w:cs="Arial" w:eastAsia="Arial" w:hAnsi="Arial"/>
                <w:sz w:val="19"/>
                <w:szCs w:val="19"/>
                <w:u w:val="single"/>
              </w:rPr>
              <w:t xml:space="preserve">d) Asegurar que los Planes de Salida estén integrados al Plan de Continuidad del Negocio y sean probados periódicamente.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Finanzas</w:t>
            </w:r>
          </w:p>
          <w:p>
            <w:pPr>
              <w:spacing w:after="80" w:line="264"/>
              <w:jc w:val="both"/>
            </w:pPr>
            <w:r>
              <w:rPr>
                <w:rFonts w:ascii="Arial" w:cs="Arial" w:eastAsia="Arial" w:hAnsi="Arial"/>
                <w:sz w:val="19"/>
                <w:szCs w:val="19"/>
                <w:u w:val="single"/>
              </w:rPr>
              <w:t xml:space="preserve">a) Elaborar el análisis financiero del proveedor (solvencia, liquidez, endeudamiento, rentabilidad y tendencia) previo a la contratación y anualmente durante la vigencia del contrato, como insumo para la evaluación del riesgo de contraparte.</w:t>
            </w:r>
          </w:p>
          <w:p>
            <w:pPr>
              <w:spacing w:after="80" w:line="264"/>
              <w:jc w:val="both"/>
            </w:pPr>
            <w:r>
              <w:rPr>
                <w:rFonts w:ascii="Arial" w:cs="Arial" w:eastAsia="Arial" w:hAnsi="Arial"/>
                <w:sz w:val="19"/>
                <w:szCs w:val="19"/>
                <w:u w:val="single"/>
              </w:rPr>
              <w:t xml:space="preserve">b) Evaluar el impacto en liquidez de la contratación (compromisos de pago, anticipos, garantías, penalidades y costos de salida) e incorporar dichos compromisos en las proyecciones de flujo de efectivo de la Cooperativa (NRP-15).</w:t>
            </w:r>
          </w:p>
          <w:p>
            <w:pPr>
              <w:spacing w:after="80" w:line="264"/>
              <w:jc w:val="both"/>
            </w:pPr>
            <w:r>
              <w:rPr>
                <w:rFonts w:ascii="Arial" w:cs="Arial" w:eastAsia="Arial" w:hAnsi="Arial"/>
                <w:sz w:val="19"/>
                <w:szCs w:val="19"/>
                <w:u w:val="single"/>
              </w:rPr>
              <w:t xml:space="preserve">c) Identificar los servicios tercerizados vinculados a canales de pago, transferencias, compensación o tesorería cuya interrupción pueda afectar la posición de liquidez, e informarlo al Departamento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r>
              <w:rPr>
                <w:rFonts w:ascii="Arial" w:cs="Arial" w:eastAsia="Arial" w:hAnsi="Arial"/>
                <w:sz w:val="19"/>
                <w:szCs w:val="19"/>
                <w:u w:val="single"/>
              </w:rPr>
              <w:t xml:space="preserve">,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Coordinar la adquisición de los bienes y servicios a través de las licitaciones o procesos de compras, según los procedimientos establecidos en el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Coordinar la adquisición de los bienes y servicios a través de las licitaciones o procesos de compras, según los procedimientos establecidos en el Manual de Compras de Bienes y Servicios (RP-GA-M-001).</w:t>
            </w:r>
          </w:p>
          <w:p>
            <w:pPr>
              <w:spacing w:after="80" w:line="264"/>
              <w:jc w:val="both"/>
            </w:pPr>
            <w:r>
              <w:rPr>
                <w:rFonts w:ascii="Arial" w:cs="Arial" w:eastAsia="Arial" w:hAnsi="Arial"/>
                <w:sz w:val="19"/>
                <w:szCs w:val="19"/>
                <w:u w:val="single"/>
              </w:rPr>
              <w:t xml:space="preserve">b) Identificar y mantener un registro de proveedores alternos para los servicios críticos tercerizados, como insumo para los Planes de Salida y la mitigación del riesgo de concentración.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Opinión de Seguridad de la Información,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w:t>
            </w:r>
          </w:p>
          <w:p>
            <w:pPr>
              <w:spacing w:after="80" w:line="264"/>
              <w:jc w:val="both"/>
            </w:pPr>
            <w:r>
              <w:rPr>
                <w:rFonts w:ascii="Arial" w:cs="Arial" w:eastAsia="Arial" w:hAnsi="Arial"/>
                <w:sz w:val="19"/>
                <w:szCs w:val="19"/>
              </w:rPr>
              <w:t xml:space="preserve">e) Solicitar por correo electrónico al Departamento de Administración de Riesgos, análisis de la criticidad del servicio, previo a la contratación de un servicio crítico tercerizado.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w:t>
            </w:r>
            <w:r>
              <w:rPr>
                <w:rFonts w:ascii="Arial" w:cs="Arial" w:eastAsia="Arial" w:hAnsi="Arial"/>
                <w:sz w:val="19"/>
                <w:szCs w:val="19"/>
                <w:u w:val="single"/>
              </w:rPr>
              <w:t xml:space="preserve">la</w:t>
            </w:r>
            <w:r>
              <w:rPr>
                <w:rFonts w:ascii="Arial" w:cs="Arial" w:eastAsia="Arial" w:hAnsi="Arial"/>
                <w:sz w:val="19"/>
                <w:szCs w:val="19"/>
              </w:rPr>
              <w:t xml:space="preserve"> Opinión de Seguridad de la Información, </w:t>
            </w:r>
            <w:r>
              <w:rPr>
                <w:rFonts w:ascii="Arial" w:cs="Arial" w:eastAsia="Arial" w:hAnsi="Arial"/>
                <w:sz w:val="19"/>
                <w:szCs w:val="19"/>
                <w:u w:val="single"/>
              </w:rPr>
              <w:t xml:space="preserve">el análisis financiero y el Plan de Salida</w:t>
            </w:r>
            <w:r>
              <w:rPr>
                <w:rFonts w:ascii="Arial" w:cs="Arial" w:eastAsia="Arial" w:hAnsi="Arial"/>
                <w:sz w:val="19"/>
                <w:szCs w:val="19"/>
              </w:rPr>
              <w:t xml:space="preserve">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r>
              <w:rPr>
                <w:rFonts w:ascii="Arial" w:cs="Arial" w:eastAsia="Arial" w:hAnsi="Arial"/>
                <w:sz w:val="19"/>
                <w:szCs w:val="19"/>
                <w:u w:val="single"/>
              </w:rPr>
              <w:t xml:space="preserve">, mediante el formulario de evaluación de servicios tercerizados críticos, incluyendo el cumplimiento de ANS, incidentes, quejas y hallazgos.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w:t>
            </w:r>
            <w:r>
              <w:rPr>
                <w:rFonts w:ascii="Arial" w:cs="Arial" w:eastAsia="Arial" w:hAnsi="Arial"/>
                <w:sz w:val="19"/>
                <w:szCs w:val="19"/>
                <w:u w:val="single"/>
              </w:rPr>
              <w:t xml:space="preserve">(NRP-20, NRP-42, NRP-24, NRP-23 y NRP-15).</w:t>
            </w:r>
          </w:p>
          <w:p>
            <w:pPr>
              <w:spacing w:after="80" w:line="264"/>
              <w:jc w:val="both"/>
            </w:pPr>
            <w:r>
              <w:rPr>
                <w:rFonts w:ascii="Arial" w:cs="Arial" w:eastAsia="Arial" w:hAnsi="Arial"/>
                <w:sz w:val="19"/>
                <w:szCs w:val="19"/>
              </w:rPr>
              <w:t xml:space="preserve">e) Solicitar por correo electrónico al Departamento de Administración de Riesgos </w:t>
            </w:r>
            <w:r>
              <w:rPr>
                <w:rFonts w:ascii="Arial" w:cs="Arial" w:eastAsia="Arial" w:hAnsi="Arial"/>
                <w:sz w:val="19"/>
                <w:szCs w:val="19"/>
                <w:u w:val="single"/>
              </w:rPr>
              <w:t xml:space="preserve">el</w:t>
            </w:r>
            <w:r>
              <w:rPr>
                <w:rFonts w:ascii="Arial" w:cs="Arial" w:eastAsia="Arial" w:hAnsi="Arial"/>
                <w:sz w:val="19"/>
                <w:szCs w:val="19"/>
              </w:rPr>
              <w:t xml:space="preserve"> análisis de la criticidad del servicio, previo a la contratación de un servicio crítico tercerizado.</w:t>
            </w:r>
          </w:p>
          <w:p>
            <w:pPr>
              <w:spacing w:after="80" w:line="264"/>
              <w:jc w:val="both"/>
            </w:pPr>
            <w:r>
              <w:rPr>
                <w:rFonts w:ascii="Arial" w:cs="Arial" w:eastAsia="Arial" w:hAnsi="Arial"/>
                <w:sz w:val="19"/>
                <w:szCs w:val="19"/>
                <w:u w:val="single"/>
              </w:rPr>
              <w:t xml:space="preserve">f) Monitorear mensualmente el cumplimiento de los niveles de servicio pactados y aplicar las penalizaciones contractuales que correspondan.</w:t>
            </w:r>
          </w:p>
          <w:p>
            <w:pPr>
              <w:spacing w:after="80" w:line="264"/>
              <w:jc w:val="both"/>
            </w:pPr>
            <w:r>
              <w:rPr>
                <w:rFonts w:ascii="Arial" w:cs="Arial" w:eastAsia="Arial" w:hAnsi="Arial"/>
                <w:sz w:val="19"/>
                <w:szCs w:val="19"/>
                <w:u w:val="single"/>
              </w:rPr>
              <w:t xml:space="preserve">g) Reportar al Departamento de Administración de Riesgos, dentro de los plazos establecidos en la normativa interna de eventos de riesgo operacional, todo incidente, interrupción, incumplimiento o pérdida originada en el proveedor.</w:t>
            </w:r>
          </w:p>
          <w:p>
            <w:pPr>
              <w:spacing w:after="80" w:line="264"/>
              <w:jc w:val="both"/>
            </w:pPr>
            <w:r>
              <w:rPr>
                <w:rFonts w:ascii="Arial" w:cs="Arial" w:eastAsia="Arial" w:hAnsi="Arial"/>
                <w:sz w:val="19"/>
                <w:szCs w:val="19"/>
                <w:u w:val="single"/>
              </w:rPr>
              <w:t xml:space="preserve">h) Elaborar y mantener actualizado, con el apoyo de las áreas técnicas, el Plan de Salida del servicio crítico tercerizado a su cargo, y participar en sus pruebas.</w:t>
            </w:r>
          </w:p>
          <w:p>
            <w:pPr>
              <w:spacing w:after="80" w:line="264"/>
              <w:jc w:val="both"/>
            </w:pPr>
            <w:r>
              <w:rPr>
                <w:rFonts w:ascii="Arial" w:cs="Arial" w:eastAsia="Arial" w:hAnsi="Arial"/>
                <w:sz w:val="19"/>
                <w:szCs w:val="19"/>
                <w:u w:val="single"/>
              </w:rPr>
              <w:t xml:space="preserve">i) Gestionar con antelación mínima de noventa (90) días al vencimiento del contrato la decisión de renovación, sustitución o salida, previa reevaluación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las cláusulas del contrato que debe cumplir el servicio de acuerdo al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w:t>
            </w:r>
            <w:r>
              <w:rPr>
                <w:rFonts w:ascii="Arial" w:cs="Arial" w:eastAsia="Arial" w:hAnsi="Arial"/>
                <w:sz w:val="19"/>
                <w:szCs w:val="19"/>
                <w:u w:val="single"/>
              </w:rPr>
              <w:t xml:space="preserve">, al Departamento de Administración de Riesgos y al responsable de Continuidad del Negocio</w:t>
            </w:r>
            <w:r>
              <w:rPr>
                <w:rFonts w:ascii="Arial" w:cs="Arial" w:eastAsia="Arial" w:hAnsi="Arial"/>
                <w:sz w:val="19"/>
                <w:szCs w:val="19"/>
              </w:rPr>
              <w:t xml:space="preserve"> las cláusulas del contrato que debe cumplir el servicio de acuerdo al Anexo No. 1</w:t>
            </w:r>
            <w:r>
              <w:rPr>
                <w:rFonts w:ascii="Arial" w:cs="Arial" w:eastAsia="Arial" w:hAnsi="Arial"/>
                <w:sz w:val="19"/>
                <w:szCs w:val="19"/>
                <w:u w:val="single"/>
              </w:rPr>
              <w:t xml:space="preserve">, Sección B, verificando la inclusión de todas las cláusulas obligatorias, en particular las de auditoría, acceso de la Superintendencia, subcontratación, terminación y Plan de Salida.</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p>
            <w:pPr>
              <w:spacing w:after="80" w:line="264"/>
              <w:jc w:val="both"/>
            </w:pPr>
            <w:r>
              <w:rPr>
                <w:rFonts w:ascii="Arial" w:cs="Arial" w:eastAsia="Arial" w:hAnsi="Arial"/>
                <w:sz w:val="19"/>
                <w:szCs w:val="19"/>
                <w:u w:val="single"/>
              </w:rPr>
              <w:t xml:space="preserve">f) Documentar y someter a aprobación del Consejo de Administración, previa opinión del Comité de Riesgos, cualquier cláusula obligatoria que no pueda incluirse (p. ej. contratos de adhesión), junto con los controles compensatorios propuestos.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r>
              <w:rPr>
                <w:rFonts w:ascii="Arial" w:cs="Arial" w:eastAsia="Arial" w:hAnsi="Arial"/>
                <w:sz w:val="19"/>
                <w:szCs w:val="19"/>
                <w:u w:val="single"/>
              </w:rPr>
              <w:t xml:space="preserve">, e informar al Administrador de Contrato y a la Gerencia de Finanzas, con al menos treinta (30) días de anticipación, el vencimiento de las garantías de cumplimiento.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w:t>
            </w:r>
            <w:r>
              <w:rPr>
                <w:rFonts w:ascii="Arial" w:cs="Arial" w:eastAsia="Arial" w:hAnsi="Arial"/>
                <w:strike/>
                <w:sz w:val="19"/>
                <w:szCs w:val="19"/>
              </w:rPr>
              <w:t xml:space="preserve">Normas para la Gestión del Riesgo Operacional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b) Remitir al Departamento de Administración de Riesgos en enero de cada año,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w:t>
            </w:r>
            <w:r>
              <w:rPr>
                <w:rFonts w:ascii="Arial" w:cs="Arial" w:eastAsia="Arial" w:hAnsi="Arial"/>
                <w:sz w:val="19"/>
                <w:szCs w:val="19"/>
                <w:u w:val="single"/>
              </w:rPr>
              <w:t xml:space="preserve">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pPr>
              <w:spacing w:after="80" w:line="264"/>
              <w:jc w:val="both"/>
            </w:pPr>
            <w:r>
              <w:rPr>
                <w:rFonts w:ascii="Arial" w:cs="Arial" w:eastAsia="Arial" w:hAnsi="Arial"/>
                <w:sz w:val="19"/>
                <w:szCs w:val="19"/>
              </w:rPr>
              <w:t xml:space="preserve">b) Remitir al Departamento de Administración de Riesgos en enero de cada año</w:t>
            </w:r>
            <w:r>
              <w:rPr>
                <w:rFonts w:ascii="Arial" w:cs="Arial" w:eastAsia="Arial" w:hAnsi="Arial"/>
                <w:sz w:val="19"/>
                <w:szCs w:val="19"/>
                <w:u w:val="single"/>
              </w:rPr>
              <w:t xml:space="preserve">, y cada vez que se incorpore, modifique o termine un servicio crítico,</w:t>
            </w:r>
            <w:r>
              <w:rPr>
                <w:rFonts w:ascii="Arial" w:cs="Arial" w:eastAsia="Arial" w:hAnsi="Arial"/>
                <w:sz w:val="19"/>
                <w:szCs w:val="19"/>
              </w:rPr>
              <w:t xml:space="preserve">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trike/>
                <w:sz w:val="19"/>
                <w:szCs w:val="19"/>
              </w:rPr>
              <w:t xml:space="preserve">a</w:t>
            </w:r>
            <w:r>
              <w:rPr>
                <w:rFonts w:ascii="Arial" w:cs="Arial" w:eastAsia="Arial" w:hAnsi="Arial"/>
                <w:sz w:val="19"/>
                <w:szCs w:val="19"/>
              </w:rPr>
              <w:t xml:space="preserv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z w:val="19"/>
                <w:szCs w:val="19"/>
                <w:u w:val="single"/>
              </w:rPr>
              <w:t xml:space="preserve">de</w:t>
            </w:r>
            <w:r>
              <w:rPr>
                <w:rFonts w:ascii="Arial" w:cs="Arial" w:eastAsia="Arial" w:hAnsi="Arial"/>
                <w:sz w:val="19"/>
                <w:szCs w:val="19"/>
              </w:rPr>
              <w:t xml:space="preserve"> la presente Política</w:t>
            </w:r>
            <w:r>
              <w:rPr>
                <w:rFonts w:ascii="Arial" w:cs="Arial" w:eastAsia="Arial" w:hAnsi="Arial"/>
                <w:sz w:val="19"/>
                <w:szCs w:val="19"/>
                <w:u w:val="single"/>
              </w:rPr>
              <w:t xml:space="preserve">, incluyendo en su plan anual de trabajo la revisión de la gestión de servicios críticos tercerizados, de los Planes de Salida y de la Matriz Centralizada, e informar sus resultados al Comité de Auditoría.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 CRITERIOS PARA IDENTIFICAR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w:t>
            </w:r>
            <w:r>
              <w:rPr>
                <w:rFonts w:ascii="Arial" w:cs="Arial" w:eastAsia="Arial" w:hAnsi="Arial"/>
                <w:strike/>
                <w:sz w:val="19"/>
                <w:szCs w:val="19"/>
              </w:rPr>
              <w:t xml:space="preserve">asimismo</w:t>
            </w:r>
            <w:r>
              <w:rPr>
                <w:rFonts w:ascii="Arial" w:cs="Arial" w:eastAsia="Arial" w:hAnsi="Arial"/>
                <w:sz w:val="19"/>
                <w:szCs w:val="19"/>
              </w:rPr>
              <w:t xml:space="preserve"> el alcance.</w:t>
            </w:r>
          </w:p>
          <w:p>
            <w:pPr>
              <w:spacing w:after="80" w:line="264"/>
              <w:jc w:val="both"/>
            </w:pPr>
            <w:r>
              <w:rPr>
                <w:rFonts w:ascii="Arial" w:cs="Arial" w:eastAsia="Arial" w:hAnsi="Arial"/>
                <w:sz w:val="19"/>
                <w:szCs w:val="19"/>
              </w:rPr>
              <w:t xml:space="preserve">Un Servicio Tercerizado para la Cooperativa puede identificarse en términos generales como los servicios que detengan la continuidad del negocio y cumplan alguno de los siguientes criterios: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w:t>
            </w:r>
            <w:r>
              <w:rPr>
                <w:rFonts w:ascii="Arial" w:cs="Arial" w:eastAsia="Arial" w:hAnsi="Arial"/>
                <w:sz w:val="19"/>
                <w:szCs w:val="19"/>
                <w:u w:val="single"/>
              </w:rPr>
              <w:t xml:space="preserve"> y</w:t>
            </w:r>
            <w:r>
              <w:rPr>
                <w:rFonts w:ascii="Arial" w:cs="Arial" w:eastAsia="Arial" w:hAnsi="Arial"/>
                <w:sz w:val="19"/>
                <w:szCs w:val="19"/>
              </w:rPr>
              <w:t xml:space="preserve"> el alcance</w:t>
            </w:r>
            <w:r>
              <w:rPr>
                <w:rFonts w:ascii="Arial" w:cs="Arial" w:eastAsia="Arial" w:hAnsi="Arial"/>
                <w:sz w:val="19"/>
                <w:szCs w:val="19"/>
                <w:u w:val="single"/>
              </w:rPr>
              <w:t xml:space="preserve"> del servicio.</w:t>
            </w:r>
          </w:p>
          <w:p>
            <w:pPr>
              <w:spacing w:after="80" w:line="264"/>
              <w:jc w:val="both"/>
            </w:pPr>
            <w:r>
              <w:rPr>
                <w:rFonts w:ascii="Arial" w:cs="Arial" w:eastAsia="Arial" w:hAnsi="Arial"/>
                <w:sz w:val="19"/>
                <w:szCs w:val="19"/>
              </w:rPr>
              <w:t xml:space="preserve">Un Servicio </w:t>
            </w:r>
            <w:r>
              <w:rPr>
                <w:rFonts w:ascii="Arial" w:cs="Arial" w:eastAsia="Arial" w:hAnsi="Arial"/>
                <w:sz w:val="19"/>
                <w:szCs w:val="19"/>
                <w:u w:val="single"/>
              </w:rPr>
              <w:t xml:space="preserve">Crítico</w:t>
            </w:r>
            <w:r>
              <w:rPr>
                <w:rFonts w:ascii="Arial" w:cs="Arial" w:eastAsia="Arial" w:hAnsi="Arial"/>
                <w:sz w:val="19"/>
                <w:szCs w:val="19"/>
              </w:rPr>
              <w:t xml:space="preserve"> Tercerizado para la Cooperativa puede identificarse en términos generales como los servicios que detengan la continuidad del negocio</w:t>
            </w:r>
            <w:r>
              <w:rPr>
                <w:rFonts w:ascii="Arial" w:cs="Arial" w:eastAsia="Arial" w:hAnsi="Arial"/>
                <w:sz w:val="19"/>
                <w:szCs w:val="19"/>
                <w:u w:val="single"/>
              </w:rPr>
              <w:t xml:space="preserve">, afecten la posición de liquidez o comprometan el cumplimiento regulatorio,</w:t>
            </w:r>
            <w:r>
              <w:rPr>
                <w:rFonts w:ascii="Arial" w:cs="Arial" w:eastAsia="Arial" w:hAnsi="Arial"/>
                <w:sz w:val="19"/>
                <w:szCs w:val="19"/>
              </w:rPr>
              <w:t xml:space="preserve"> y cumplan alguno de los siguientes criterios: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w:t>
            </w:r>
            <w:r>
              <w:rPr>
                <w:rFonts w:ascii="Arial" w:cs="Arial" w:eastAsia="Arial" w:hAnsi="Arial"/>
                <w:sz w:val="19"/>
                <w:szCs w:val="19"/>
                <w:u w:val="single"/>
              </w:rPr>
              <w:t xml:space="preserve">o parcialmente, por encima del MTPD definido en el BIA,</w:t>
            </w:r>
            <w:r>
              <w:rPr>
                <w:rFonts w:ascii="Arial" w:cs="Arial" w:eastAsia="Arial" w:hAnsi="Arial"/>
                <w:sz w:val="19"/>
                <w:szCs w:val="19"/>
              </w:rPr>
              <w:t xml:space="preserve"> la operatividad de los procesos críticos </w:t>
            </w:r>
            <w:r>
              <w:rPr>
                <w:rFonts w:ascii="Arial" w:cs="Arial" w:eastAsia="Arial" w:hAnsi="Arial"/>
                <w:sz w:val="19"/>
                <w:szCs w:val="19"/>
                <w:u w:val="single"/>
              </w:rPr>
              <w:t xml:space="preserve">(NRP-24).</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r>
              <w:rPr>
                <w:rFonts w:ascii="Arial" w:cs="Arial" w:eastAsia="Arial" w:hAnsi="Arial"/>
                <w:sz w:val="19"/>
                <w:szCs w:val="19"/>
                <w:u w:val="single"/>
              </w:rPr>
              <w:t xml:space="preserve">, conforme a los umbrales de severidad de la metodología de riesgo operacional (NRP-42).</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r>
              <w:rPr>
                <w:rFonts w:ascii="Arial" w:cs="Arial" w:eastAsia="Arial" w:hAnsi="Arial"/>
                <w:sz w:val="19"/>
                <w:szCs w:val="19"/>
                <w:u w:val="single"/>
              </w:rPr>
              <w:t xml:space="preserve">, o el tiempo de sustitución es superior al RTO del proceso (riesgo de concentración).</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el proveedor procesa, almacena o transmite información confidencial de asociados, o tiene acceso a los sistemas principales, bases de datos o infraestructura tecnológica de la Cooperativa.</w:t>
            </w:r>
          </w:p>
          <w:p>
            <w:pPr>
              <w:pStyle w:val="ListParagraph"/>
              <w:numPr>
                <w:ilvl w:val="0"/>
                <w:numId w:val="2"/>
              </w:numPr>
              <w:spacing w:after="80" w:line="264"/>
              <w:jc w:val="both"/>
            </w:pPr>
            <w:r>
              <w:rPr>
                <w:rFonts w:ascii="Arial" w:cs="Arial" w:eastAsia="Arial" w:hAnsi="Arial"/>
                <w:b/>
                <w:bCs/>
                <w:sz w:val="19"/>
                <w:szCs w:val="19"/>
                <w:u w:val="single"/>
              </w:rPr>
              <w:t xml:space="preserve">Concentración y contraparte (NRP-20 / NRP-17):</w:t>
            </w:r>
            <w:r>
              <w:rPr>
                <w:rFonts w:ascii="Arial" w:cs="Arial" w:eastAsia="Arial" w:hAnsi="Arial"/>
                <w:sz w:val="19"/>
                <w:szCs w:val="19"/>
                <w:u w:val="single"/>
              </w:rPr>
              <w:t xml:space="preserve"> el proveedor o su grupo económico presta más de un servicio crítico, o la Cooperativa le entrega anticipos, depósitos o recursos significativos expuestos a su solvencia.</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el servicio soporta canales de pago, transferencias, compensación, tarjetas, gestión de tesorería o captación de fondos, o su interrupción o terminación genera compromisos de pago relevantes para el flujo de efectivo.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w:t>
            </w:r>
          </w:p>
          <w:p>
            <w:pPr>
              <w:pStyle w:val="ListParagraph"/>
              <w:numPr>
                <w:ilvl w:val="0"/>
                <w:numId w:val="2"/>
              </w:numPr>
              <w:spacing w:after="80" w:line="264"/>
              <w:jc w:val="both"/>
            </w:pPr>
            <w:r>
              <w:rPr>
                <w:rFonts w:ascii="Arial" w:cs="Arial" w:eastAsia="Arial" w:hAnsi="Arial"/>
                <w:sz w:val="19"/>
                <w:szCs w:val="19"/>
              </w:rPr>
              <w:t xml:space="preserve">No genera pérdidas.</w:t>
            </w:r>
          </w:p>
          <w:p>
            <w:pPr>
              <w:pStyle w:val="ListParagraph"/>
              <w:numPr>
                <w:ilvl w:val="0"/>
                <w:numId w:val="2"/>
              </w:numPr>
              <w:spacing w:after="80" w:line="264"/>
              <w:jc w:val="both"/>
            </w:pPr>
            <w:r>
              <w:rPr>
                <w:rFonts w:ascii="Arial" w:cs="Arial" w:eastAsia="Arial" w:hAnsi="Arial"/>
                <w:sz w:val="19"/>
                <w:szCs w:val="19"/>
              </w:rPr>
              <w:t xml:space="preserve">No presentan quejas o reclamos.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 </w:t>
            </w:r>
            <w:r>
              <w:rPr>
                <w:rFonts w:ascii="Arial" w:cs="Arial" w:eastAsia="Arial" w:hAnsi="Arial"/>
                <w:sz w:val="19"/>
                <w:szCs w:val="19"/>
                <w:u w:val="single"/>
              </w:rPr>
              <w:t xml:space="preserve">críticos.</w:t>
            </w:r>
          </w:p>
          <w:p>
            <w:pPr>
              <w:pStyle w:val="ListParagraph"/>
              <w:numPr>
                <w:ilvl w:val="0"/>
                <w:numId w:val="2"/>
              </w:numPr>
              <w:spacing w:after="80" w:line="264"/>
              <w:jc w:val="both"/>
            </w:pPr>
            <w:r>
              <w:rPr>
                <w:rFonts w:ascii="Arial" w:cs="Arial" w:eastAsia="Arial" w:hAnsi="Arial"/>
                <w:sz w:val="19"/>
                <w:szCs w:val="19"/>
              </w:rPr>
              <w:t xml:space="preserve">No genera pérdidas </w:t>
            </w:r>
            <w:r>
              <w:rPr>
                <w:rFonts w:ascii="Arial" w:cs="Arial" w:eastAsia="Arial" w:hAnsi="Arial"/>
                <w:sz w:val="19"/>
                <w:szCs w:val="19"/>
                <w:u w:val="single"/>
              </w:rPr>
              <w:t xml:space="preserve">significativas.</w:t>
            </w:r>
          </w:p>
          <w:p>
            <w:pPr>
              <w:pStyle w:val="ListParagraph"/>
              <w:numPr>
                <w:ilvl w:val="0"/>
                <w:numId w:val="2"/>
              </w:numPr>
              <w:spacing w:after="80" w:line="264"/>
              <w:jc w:val="both"/>
            </w:pPr>
            <w:r>
              <w:rPr>
                <w:rFonts w:ascii="Arial" w:cs="Arial" w:eastAsia="Arial" w:hAnsi="Arial"/>
                <w:sz w:val="19"/>
                <w:szCs w:val="19"/>
              </w:rPr>
              <w:t xml:space="preserve">No presenta quejas o reclamos </w:t>
            </w:r>
            <w:r>
              <w:rPr>
                <w:rFonts w:ascii="Arial" w:cs="Arial" w:eastAsia="Arial" w:hAnsi="Arial"/>
                <w:sz w:val="19"/>
                <w:szCs w:val="19"/>
                <w:u w:val="single"/>
              </w:rPr>
              <w:t xml:space="preserve">relevantes de asociados.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p>
            <w:pPr>
              <w:pStyle w:val="ListParagraph"/>
              <w:numPr>
                <w:ilvl w:val="0"/>
                <w:numId w:val="2"/>
              </w:numPr>
              <w:spacing w:after="80" w:line="264"/>
              <w:jc w:val="both"/>
            </w:pPr>
            <w:r>
              <w:rPr>
                <w:rFonts w:ascii="Arial" w:cs="Arial" w:eastAsia="Arial" w:hAnsi="Arial"/>
                <w:sz w:val="19"/>
                <w:szCs w:val="19"/>
                <w:u w:val="single"/>
              </w:rPr>
              <w:t xml:space="preserve">No tiene acceso a información confidencial ni a sistemas principales de la Cooperativa.</w:t>
            </w:r>
          </w:p>
          <w:p>
            <w:pPr>
              <w:pStyle w:val="ListParagraph"/>
              <w:numPr>
                <w:ilvl w:val="0"/>
                <w:numId w:val="2"/>
              </w:numPr>
              <w:spacing w:after="80" w:line="264"/>
              <w:jc w:val="both"/>
            </w:pPr>
            <w:r>
              <w:rPr>
                <w:rFonts w:ascii="Arial" w:cs="Arial" w:eastAsia="Arial" w:hAnsi="Arial"/>
                <w:sz w:val="19"/>
                <w:szCs w:val="19"/>
                <w:u w:val="single"/>
              </w:rPr>
              <w:t xml:space="preserve">No tiene impacto en la posición de liquidez ni en los canales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cumplan las condiciones de criticidad y que puedan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r>
              <w:rPr>
                <w:rFonts w:ascii="Arial" w:cs="Arial" w:eastAsia="Arial" w:hAnsi="Arial"/>
                <w:sz w:val="19"/>
                <w:szCs w:val="19"/>
                <w:u w:val="single"/>
              </w:rPr>
              <w:t xml:space="preserve">, el cual deberá actualizarse para incorporar los criterios de riesgo tecnológico, concentración, contraparte e impacto en liquidez.</w:t>
            </w:r>
          </w:p>
          <w:p>
            <w:pPr>
              <w:spacing w:after="80" w:line="264"/>
              <w:jc w:val="both"/>
            </w:pPr>
            <w:r>
              <w:rPr>
                <w:rFonts w:ascii="Arial" w:cs="Arial" w:eastAsia="Arial" w:hAnsi="Arial"/>
                <w:sz w:val="19"/>
                <w:szCs w:val="19"/>
                <w:u w:val="single"/>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pPr>
              <w:spacing w:after="80" w:line="264"/>
              <w:jc w:val="both"/>
            </w:pPr>
            <w:r>
              <w:rPr>
                <w:rFonts w:ascii="Arial" w:cs="Arial" w:eastAsia="Arial" w:hAnsi="Arial"/>
                <w:sz w:val="19"/>
                <w:szCs w:val="19"/>
                <w:u w:val="single"/>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 REQUERIMIENTOS DE CUMPLIMIENTO NORMATIVO EN LA CONTRATACIÓN DE SERVICIOS CRÍTICOS TERCERIZADOS DE TECNOLOGÍA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determinen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 la necesidad de efectuar sustituciones o reemplazos de sistemas informáticos principales, sean estos sistemas gestores de bases de datos o aplicaciones, o la adquisición de sistemas informáticos </w:t>
            </w:r>
            <w:r>
              <w:rPr>
                <w:rFonts w:ascii="Arial" w:cs="Arial" w:eastAsia="Arial" w:hAnsi="Arial"/>
                <w:sz w:val="19"/>
                <w:szCs w:val="19"/>
                <w:u w:val="single"/>
              </w:rPr>
              <w:t xml:space="preserve">o servicios en la nube</w:t>
            </w:r>
            <w:r>
              <w:rPr>
                <w:rFonts w:ascii="Arial" w:cs="Arial" w:eastAsia="Arial" w:hAnsi="Arial"/>
                <w:sz w:val="19"/>
                <w:szCs w:val="19"/>
              </w:rPr>
              <w:t xml:space="preserve"> para nuevas operaciones, productos o servicios financieros que la Cooperativa ofrece a sus asociados y clientes, deberán presentar al Consejo de Administración</w:t>
            </w:r>
            <w:r>
              <w:rPr>
                <w:rFonts w:ascii="Arial" w:cs="Arial" w:eastAsia="Arial" w:hAnsi="Arial"/>
                <w:sz w:val="19"/>
                <w:szCs w:val="19"/>
                <w:u w:val="single"/>
              </w:rPr>
              <w:t xml:space="preserve">, previa opinión del Comité de Riesgos,</w:t>
            </w:r>
            <w:r>
              <w:rPr>
                <w:rFonts w:ascii="Arial" w:cs="Arial" w:eastAsia="Arial" w:hAnsi="Arial"/>
                <w:sz w:val="19"/>
                <w:szCs w:val="19"/>
              </w:rPr>
              <w:t xml:space="preserve">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r>
              <w:rPr>
                <w:rFonts w:ascii="Arial" w:cs="Arial" w:eastAsia="Arial" w:hAnsi="Arial"/>
                <w:sz w:val="19"/>
                <w:szCs w:val="19"/>
                <w:u w:val="single"/>
              </w:rPr>
              <w:t xml:space="preserve">, incluyendo la evaluación de riesgo tecnológico conforme a la NRP-20.</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p>
            <w:pPr>
              <w:spacing w:after="80" w:line="264"/>
              <w:jc w:val="both"/>
            </w:pPr>
            <w:r>
              <w:rPr>
                <w:rFonts w:ascii="Arial" w:cs="Arial" w:eastAsia="Arial" w:hAnsi="Arial"/>
                <w:sz w:val="19"/>
                <w:szCs w:val="19"/>
                <w:u w:val="single"/>
              </w:rPr>
              <w:t xml:space="preserve">h. Opinión de Seguridad de la Información (NRP-23) y evaluación de ciberseguridad del proveedor y de la solución.</w:t>
            </w:r>
          </w:p>
          <w:p>
            <w:pPr>
              <w:spacing w:after="80" w:line="264"/>
              <w:jc w:val="both"/>
            </w:pPr>
            <w:r>
              <w:rPr>
                <w:rFonts w:ascii="Arial" w:cs="Arial" w:eastAsia="Arial" w:hAnsi="Arial"/>
                <w:sz w:val="19"/>
                <w:szCs w:val="19"/>
                <w:u w:val="single"/>
              </w:rPr>
              <w:t xml:space="preserve">i. Plan de migración y conversión de datos, con plan de pruebas, criterios de aceptación y plan de retorno (rollback).</w:t>
            </w:r>
          </w:p>
          <w:p>
            <w:pPr>
              <w:spacing w:after="80" w:line="264"/>
              <w:jc w:val="both"/>
            </w:pPr>
            <w:r>
              <w:rPr>
                <w:rFonts w:ascii="Arial" w:cs="Arial" w:eastAsia="Arial" w:hAnsi="Arial"/>
                <w:sz w:val="19"/>
                <w:szCs w:val="19"/>
                <w:u w:val="single"/>
              </w:rPr>
              <w:t xml:space="preserve">j. Análisis de dependencia tecnológica, portabilidad de datos y reversibilidad del servicio (riesgo de concentración tecnológica).</w:t>
            </w:r>
          </w:p>
          <w:p>
            <w:pPr>
              <w:spacing w:after="80" w:line="264"/>
              <w:jc w:val="both"/>
            </w:pPr>
            <w:r>
              <w:rPr>
                <w:rFonts w:ascii="Arial" w:cs="Arial" w:eastAsia="Arial" w:hAnsi="Arial"/>
                <w:sz w:val="19"/>
                <w:szCs w:val="19"/>
                <w:u w:val="single"/>
              </w:rPr>
              <w:t xml:space="preserve">k. Impacto en la continuidad del negocio: verificación de RTO/RPO, esquemas de alta disponibilidad, respaldo y recuperación ante desastres (NRP-24).</w:t>
            </w:r>
          </w:p>
          <w:p>
            <w:pPr>
              <w:spacing w:after="80" w:line="264"/>
              <w:jc w:val="both"/>
            </w:pPr>
            <w:r>
              <w:rPr>
                <w:rFonts w:ascii="Arial" w:cs="Arial" w:eastAsia="Arial" w:hAnsi="Arial"/>
                <w:sz w:val="19"/>
                <w:szCs w:val="19"/>
                <w:u w:val="single"/>
              </w:rPr>
              <w:t xml:space="preserve">l. Costo total de propiedad e impacto en el flujo de efectivo durante la vigencia del contrato, incluyendo costos de implementación, salida y migración (NRP-15).</w:t>
            </w:r>
          </w:p>
          <w:p>
            <w:pPr>
              <w:spacing w:after="80" w:line="264"/>
              <w:jc w:val="both"/>
            </w:pPr>
            <w:r>
              <w:rPr>
                <w:rFonts w:ascii="Arial" w:cs="Arial" w:eastAsia="Arial" w:hAnsi="Arial"/>
                <w:sz w:val="19"/>
                <w:szCs w:val="19"/>
                <w:u w:val="single"/>
              </w:rPr>
              <w:t xml:space="preserve">m. Plan de Salida preliminar del servicio o sistema a contratar.</w:t>
            </w:r>
          </w:p>
          <w:p>
            <w:pPr>
              <w:spacing w:after="80" w:line="264"/>
              <w:jc w:val="both"/>
            </w:pPr>
            <w:r>
              <w:rPr>
                <w:rFonts w:ascii="Arial" w:cs="Arial" w:eastAsia="Arial" w:hAnsi="Arial"/>
                <w:sz w:val="19"/>
                <w:szCs w:val="19"/>
                <w:u w:val="single"/>
              </w:rPr>
              <w:t xml:space="preserve">n. Para servicios en la nube: modelo de servicio, ubicación (país y ciudad) del procesamiento y almacenamiento de datos y de los respaldos, esquema de responsabilidad compartida, cifrado y gestión de llaves criptográficas.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Asimismo, lo establecido en el Manual de Compras de Bienes y Servicios (RP-GA-M-001). </w:t>
            </w:r>
            <w:r>
              <w:rPr>
                <w:rFonts w:ascii="Arial" w:cs="Arial" w:eastAsia="Arial" w:hAnsi="Arial"/>
                <w:strike/>
                <w:sz w:val="19"/>
                <w:szCs w:val="19"/>
              </w:rPr>
              <w:t xml:space="preserve">Que</w:t>
            </w:r>
            <w:r>
              <w:rPr>
                <w:rFonts w:ascii="Arial" w:cs="Arial" w:eastAsia="Arial" w:hAnsi="Arial"/>
                <w:sz w:val="19"/>
                <w:szCs w:val="19"/>
              </w:rPr>
              <w:t xml:space="preserve"> deberá consolidarse y enviarse a Servicios Generales para archivarlo en el expediente.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 así como lo establecido en el Manual de Compras de Bienes y Servicios (RP-GA-M-001), la cual deberá consolidarse y enviarse a Servicios Generales para archivarla en el expediente.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 LINEAMIENTOS A CONSIDERAR SOBRE LA EVALUACIÓN DE LOS PROVEEDORES DE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 al Oficial de Seguridad de la información, quien brindará un informe al área requirente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r>
              <w:rPr>
                <w:rFonts w:ascii="Arial" w:cs="Arial" w:eastAsia="Arial" w:hAnsi="Arial"/>
                <w:sz w:val="19"/>
                <w:szCs w:val="19"/>
                <w:u w:val="single"/>
              </w:rPr>
              <w:t xml:space="preserve">, la cual comprenderá como mínimo:</w:t>
            </w:r>
          </w:p>
          <w:p>
            <w:pPr>
              <w:pStyle w:val="ListParagraph"/>
              <w:numPr>
                <w:ilvl w:val="0"/>
                <w:numId w:val="2"/>
              </w:num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u w:val="single"/>
              </w:rPr>
              <w:t xml:space="preserve"> identificación de los factores de riesgo (procesos, personas, tecnología y eventos externos), estimación de la probabilidad e impacto, y controles mitigantes.</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dependencia de la infraestructura del proveedor, obsolescencia, capacidad, integración y seguridad de la solución.</w:t>
            </w:r>
          </w:p>
          <w:p>
            <w:pPr>
              <w:pStyle w:val="ListParagraph"/>
              <w:numPr>
                <w:ilvl w:val="0"/>
                <w:numId w:val="2"/>
              </w:numPr>
              <w:spacing w:after="80" w:line="264"/>
              <w:jc w:val="both"/>
            </w:pPr>
            <w:r>
              <w:rPr>
                <w:rFonts w:ascii="Arial" w:cs="Arial" w:eastAsia="Arial" w:hAnsi="Arial"/>
                <w:b/>
                <w:bCs/>
                <w:sz w:val="19"/>
                <w:szCs w:val="19"/>
                <w:u w:val="single"/>
              </w:rPr>
              <w:t xml:space="preserve">Riesgo de concentración (NRP-20 / NRP-17):</w:t>
            </w:r>
            <w:r>
              <w:rPr>
                <w:rFonts w:ascii="Arial" w:cs="Arial" w:eastAsia="Arial" w:hAnsi="Arial"/>
                <w:sz w:val="19"/>
                <w:szCs w:val="19"/>
                <w:u w:val="single"/>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pPr>
              <w:pStyle w:val="ListParagraph"/>
              <w:numPr>
                <w:ilvl w:val="0"/>
                <w:numId w:val="2"/>
              </w:num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u w:val="single"/>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compromisos de pago, estructura de pagos, penalidades por terminación anticipada, costos de salida, y efecto de una eventual interrupción del servicio en los canales de pago y en la gestión de tesorería.</w:t>
            </w:r>
          </w:p>
          <w:p>
            <w:pPr>
              <w:pStyle w:val="ListParagraph"/>
              <w:numPr>
                <w:ilvl w:val="0"/>
                <w:numId w:val="2"/>
              </w:numPr>
              <w:spacing w:after="80" w:line="264"/>
              <w:jc w:val="both"/>
            </w:pPr>
            <w:r>
              <w:rPr>
                <w:rFonts w:ascii="Arial" w:cs="Arial" w:eastAsia="Arial" w:hAnsi="Arial"/>
                <w:b/>
                <w:bCs/>
                <w:sz w:val="19"/>
                <w:szCs w:val="19"/>
                <w:u w:val="single"/>
              </w:rPr>
              <w:t xml:space="preserve">Riesgo de continuidad (NRP-24):</w:t>
            </w:r>
            <w:r>
              <w:rPr>
                <w:rFonts w:ascii="Arial" w:cs="Arial" w:eastAsia="Arial" w:hAnsi="Arial"/>
                <w:sz w:val="19"/>
                <w:szCs w:val="19"/>
                <w:u w:val="single"/>
              </w:rPr>
              <w:t xml:space="preserve"> capacidad del proveedor para cumplir el RTO y RPO requeridos, existencia y prueba de su plan de continuidad, y viabilidad del Plan de Salida.</w:t>
            </w:r>
          </w:p>
          <w:p>
            <w:pPr>
              <w:pStyle w:val="ListParagraph"/>
              <w:numPr>
                <w:ilvl w:val="0"/>
                <w:numId w:val="2"/>
              </w:numPr>
              <w:spacing w:after="80" w:line="264"/>
              <w:jc w:val="both"/>
            </w:pPr>
            <w:r>
              <w:rPr>
                <w:rFonts w:ascii="Arial" w:cs="Arial" w:eastAsia="Arial" w:hAnsi="Arial"/>
                <w:b/>
                <w:bCs/>
                <w:sz w:val="19"/>
                <w:szCs w:val="19"/>
                <w:u w:val="single"/>
              </w:rPr>
              <w:t xml:space="preserve">Riesgo legal y reputacional:</w:t>
            </w:r>
            <w:r>
              <w:rPr>
                <w:rFonts w:ascii="Arial" w:cs="Arial" w:eastAsia="Arial" w:hAnsi="Arial"/>
                <w:sz w:val="19"/>
                <w:szCs w:val="19"/>
                <w:u w:val="single"/>
              </w:rPr>
              <w:t xml:space="preserve"> litigios, sanciones, quejas públicas y verificación en listas de control.</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pPr>
              <w:spacing w:after="80" w:line="264"/>
              <w:jc w:val="both"/>
            </w:pPr>
            <w:r>
              <w:rPr>
                <w:rFonts w:ascii="Arial" w:cs="Arial" w:eastAsia="Arial" w:hAnsi="Arial"/>
                <w:b/>
                <w:bCs/>
                <w:sz w:val="19"/>
                <w:szCs w:val="19"/>
                <w:u w:val="single"/>
              </w:rPr>
              <w:t xml:space="preserve">Monitoreo continuo:</w:t>
            </w:r>
            <w:r>
              <w:rPr>
                <w:rFonts w:ascii="Arial" w:cs="Arial" w:eastAsia="Arial" w:hAnsi="Arial"/>
                <w:sz w:val="19"/>
                <w:szCs w:val="19"/>
                <w:u w:val="single"/>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VIII. LINEAMIENTOS PARA ASEGURAR LA CONTINUIDAD DE PROVEEDORES DE SERVICIOS CRÍTICOS TERCERIZADOS Y PLANES DE SALIDA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Los contratos deberán contener cláusulas que regulen el alcance del servicio, las responsabilidades de ambas partes. Asimismo, en la formalización del contrato, deberán presentar una declaración jurada,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A. Continuidad del servicio</w:t>
            </w:r>
          </w:p>
          <w:p>
            <w:pPr>
              <w:spacing w:after="80" w:line="264"/>
              <w:jc w:val="both"/>
            </w:pPr>
            <w:r>
              <w:rPr>
                <w:rFonts w:ascii="Arial" w:cs="Arial" w:eastAsia="Arial" w:hAnsi="Arial"/>
                <w:sz w:val="19"/>
                <w:szCs w:val="19"/>
              </w:rPr>
              <w:t xml:space="preserve">Los contratos deberán contener cláusulas que regulen el alcance del servicio </w:t>
            </w:r>
            <w:r>
              <w:rPr>
                <w:rFonts w:ascii="Arial" w:cs="Arial" w:eastAsia="Arial" w:hAnsi="Arial"/>
                <w:sz w:val="19"/>
                <w:szCs w:val="19"/>
                <w:u w:val="single"/>
              </w:rPr>
              <w:t xml:space="preserve">y</w:t>
            </w:r>
            <w:r>
              <w:rPr>
                <w:rFonts w:ascii="Arial" w:cs="Arial" w:eastAsia="Arial" w:hAnsi="Arial"/>
                <w:sz w:val="19"/>
                <w:szCs w:val="19"/>
              </w:rPr>
              <w:t xml:space="preserve"> las responsabilidades de ambas partes. Asimismo, en la formalización del contrato, </w:t>
            </w:r>
            <w:r>
              <w:rPr>
                <w:rFonts w:ascii="Arial" w:cs="Arial" w:eastAsia="Arial" w:hAnsi="Arial"/>
                <w:sz w:val="19"/>
                <w:szCs w:val="19"/>
                <w:u w:val="single"/>
              </w:rPr>
              <w:t xml:space="preserve">los proveedores</w:t>
            </w:r>
            <w:r>
              <w:rPr>
                <w:rFonts w:ascii="Arial" w:cs="Arial" w:eastAsia="Arial" w:hAnsi="Arial"/>
                <w:sz w:val="19"/>
                <w:szCs w:val="19"/>
              </w:rPr>
              <w:t xml:space="preserve"> deberán presentar una declaración jurada </w:t>
            </w:r>
            <w:r>
              <w:rPr>
                <w:rFonts w:ascii="Arial" w:cs="Arial" w:eastAsia="Arial" w:hAnsi="Arial"/>
                <w:sz w:val="19"/>
                <w:szCs w:val="19"/>
                <w:u w:val="single"/>
              </w:rPr>
              <w:t xml:space="preserve">o certificación vigente</w:t>
            </w:r>
            <w:r>
              <w:rPr>
                <w:rFonts w:ascii="Arial" w:cs="Arial" w:eastAsia="Arial" w:hAnsi="Arial"/>
                <w:sz w:val="19"/>
                <w:szCs w:val="19"/>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cs="Arial" w:eastAsia="Arial" w:hAnsi="Arial"/>
                <w:sz w:val="19"/>
                <w:szCs w:val="19"/>
                <w:u w:val="single"/>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Adicionalmente, conforme a la NRP-24:</w:t>
            </w:r>
          </w:p>
          <w:p>
            <w:pPr>
              <w:pStyle w:val="ListParagraph"/>
              <w:numPr>
                <w:ilvl w:val="0"/>
                <w:numId w:val="2"/>
              </w:numPr>
              <w:spacing w:after="80" w:line="264"/>
              <w:jc w:val="both"/>
            </w:pPr>
            <w:r>
              <w:rPr>
                <w:rFonts w:ascii="Arial" w:cs="Arial" w:eastAsia="Arial" w:hAnsi="Arial"/>
                <w:sz w:val="19"/>
                <w:szCs w:val="19"/>
                <w:u w:val="single"/>
              </w:rPr>
              <w:t xml:space="preserve">Los servicios críticos tercerizados deberán estar identificados en el Análisis de Impacto al Negocio (BIA) y en la evaluación de riesgos de continuidad de la Cooperativa.</w:t>
            </w:r>
          </w:p>
          <w:p>
            <w:pPr>
              <w:pStyle w:val="ListParagraph"/>
              <w:numPr>
                <w:ilvl w:val="0"/>
                <w:numId w:val="2"/>
              </w:numPr>
              <w:spacing w:after="80" w:line="264"/>
              <w:jc w:val="both"/>
            </w:pPr>
            <w:r>
              <w:rPr>
                <w:rFonts w:ascii="Arial" w:cs="Arial" w:eastAsia="Arial" w:hAnsi="Arial"/>
                <w:sz w:val="19"/>
                <w:szCs w:val="19"/>
                <w:u w:val="single"/>
              </w:rPr>
              <w:t xml:space="preserve">El RTO y RPO comprometidos por el proveedor deberán ser iguales o inferiores a los requeridos por el proceso crítico que soportan.</w:t>
            </w:r>
          </w:p>
          <w:p>
            <w:pPr>
              <w:pStyle w:val="ListParagraph"/>
              <w:numPr>
                <w:ilvl w:val="0"/>
                <w:numId w:val="2"/>
              </w:numPr>
              <w:spacing w:after="80" w:line="264"/>
              <w:jc w:val="both"/>
            </w:pPr>
            <w:r>
              <w:rPr>
                <w:rFonts w:ascii="Arial" w:cs="Arial" w:eastAsia="Arial" w:hAnsi="Arial"/>
                <w:sz w:val="19"/>
                <w:szCs w:val="19"/>
                <w:u w:val="single"/>
              </w:rPr>
              <w:t xml:space="preserve">Los planes de contingencia de la Cooperativa deberán contemplar la indisponibilidad de cada proveedor crítico, incluyendo procedimientos manuales alternos o proveedores alternos.</w:t>
            </w:r>
          </w:p>
          <w:p>
            <w:pPr>
              <w:pStyle w:val="ListParagraph"/>
              <w:numPr>
                <w:ilvl w:val="0"/>
                <w:numId w:val="2"/>
              </w:numPr>
              <w:spacing w:after="80" w:line="264"/>
              <w:jc w:val="both"/>
            </w:pPr>
            <w:r>
              <w:rPr>
                <w:rFonts w:ascii="Arial" w:cs="Arial" w:eastAsia="Arial" w:hAnsi="Arial"/>
                <w:sz w:val="19"/>
                <w:szCs w:val="19"/>
                <w:u w:val="single"/>
              </w:rPr>
              <w:t xml:space="preserve">Se realizarán pruebas de continuidad conjuntas con los proveedores de criticidad Alta al menos una vez al año; sus resultados, brechas y planes de acción se informarán al Comité de Riesgos.</w:t>
            </w:r>
          </w:p>
          <w:p>
            <w:pPr>
              <w:pStyle w:val="ListParagraph"/>
              <w:numPr>
                <w:ilvl w:val="0"/>
                <w:numId w:val="2"/>
              </w:numPr>
              <w:spacing w:after="80" w:line="264"/>
              <w:jc w:val="both"/>
            </w:pPr>
            <w:r>
              <w:rPr>
                <w:rFonts w:ascii="Arial" w:cs="Arial" w:eastAsia="Arial" w:hAnsi="Arial"/>
                <w:sz w:val="19"/>
                <w:szCs w:val="19"/>
                <w:u w:val="single"/>
              </w:rPr>
              <w:t xml:space="preserve">El proveedor deberá notificar a la Cooperativa la activación de su plan de continuidad que afecte el servicio 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 (El Anexo 1, Sección B, numeral 20, únicamente menciona contar con planes de salida y arreglos de terminación.)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B. Planes de Salida (Estrategia de Salida) y Retransición</w:t>
            </w:r>
          </w:p>
          <w:p>
            <w:pPr>
              <w:spacing w:after="80" w:line="264"/>
              <w:jc w:val="both"/>
            </w:pPr>
            <w:r>
              <w:rPr>
                <w:rFonts w:ascii="Arial" w:cs="Arial" w:eastAsia="Arial" w:hAnsi="Arial"/>
                <w:sz w:val="19"/>
                <w:szCs w:val="19"/>
                <w:u w:val="single"/>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pPr>
              <w:pStyle w:val="ListParagraph"/>
              <w:numPr>
                <w:ilvl w:val="0"/>
                <w:numId w:val="2"/>
              </w:numPr>
              <w:spacing w:after="80" w:line="264"/>
              <w:jc w:val="both"/>
            </w:pPr>
            <w:r>
              <w:rPr>
                <w:rFonts w:ascii="Arial" w:cs="Arial" w:eastAsia="Arial" w:hAnsi="Arial"/>
                <w:b/>
                <w:bCs/>
                <w:sz w:val="19"/>
                <w:szCs w:val="19"/>
                <w:u w:val="single"/>
              </w:rPr>
              <w:t xml:space="preserve">Eventos detonantes:</w:t>
            </w:r>
            <w:r>
              <w:rPr>
                <w:rFonts w:ascii="Arial" w:cs="Arial" w:eastAsia="Arial" w:hAnsi="Arial"/>
                <w:sz w:val="19"/>
                <w:szCs w:val="19"/>
                <w:u w:val="single"/>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pPr>
              <w:pStyle w:val="ListParagraph"/>
              <w:numPr>
                <w:ilvl w:val="0"/>
                <w:numId w:val="2"/>
              </w:numPr>
              <w:spacing w:after="80" w:line="264"/>
              <w:jc w:val="both"/>
            </w:pPr>
            <w:r>
              <w:rPr>
                <w:rFonts w:ascii="Arial" w:cs="Arial" w:eastAsia="Arial" w:hAnsi="Arial"/>
                <w:b/>
                <w:bCs/>
                <w:sz w:val="19"/>
                <w:szCs w:val="19"/>
                <w:u w:val="single"/>
              </w:rPr>
              <w:t xml:space="preserve">Escenarios de salida:</w:t>
            </w:r>
            <w:r>
              <w:rPr>
                <w:rFonts w:ascii="Arial" w:cs="Arial" w:eastAsia="Arial" w:hAnsi="Arial"/>
                <w:sz w:val="19"/>
                <w:szCs w:val="19"/>
                <w:u w:val="single"/>
              </w:rPr>
              <w:t xml:space="preserve"> salida planificada (terminación o no renovación) y salida forzada o de emergencia (cese abrupto del proveedor).</w:t>
            </w:r>
          </w:p>
          <w:p>
            <w:pPr>
              <w:pStyle w:val="ListParagraph"/>
              <w:numPr>
                <w:ilvl w:val="0"/>
                <w:numId w:val="2"/>
              </w:numPr>
              <w:spacing w:after="80" w:line="264"/>
              <w:jc w:val="both"/>
            </w:pPr>
            <w:r>
              <w:rPr>
                <w:rFonts w:ascii="Arial" w:cs="Arial" w:eastAsia="Arial" w:hAnsi="Arial"/>
                <w:b/>
                <w:bCs/>
                <w:sz w:val="19"/>
                <w:szCs w:val="19"/>
                <w:u w:val="single"/>
              </w:rPr>
              <w:t xml:space="preserve">Alternativas:</w:t>
            </w:r>
            <w:r>
              <w:rPr>
                <w:rFonts w:ascii="Arial" w:cs="Arial" w:eastAsia="Arial" w:hAnsi="Arial"/>
                <w:sz w:val="19"/>
                <w:szCs w:val="19"/>
                <w:u w:val="single"/>
              </w:rPr>
              <w:t xml:space="preserve"> identificación de proveedores alternos precalificados o de la opción de internalización del servicio, con su viabilidad técnica y económica.</w:t>
            </w:r>
          </w:p>
          <w:p>
            <w:pPr>
              <w:pStyle w:val="ListParagraph"/>
              <w:numPr>
                <w:ilvl w:val="0"/>
                <w:numId w:val="2"/>
              </w:numPr>
              <w:spacing w:after="80" w:line="264"/>
              <w:jc w:val="both"/>
            </w:pPr>
            <w:r>
              <w:rPr>
                <w:rFonts w:ascii="Arial" w:cs="Arial" w:eastAsia="Arial" w:hAnsi="Arial"/>
                <w:b/>
                <w:bCs/>
                <w:sz w:val="19"/>
                <w:szCs w:val="19"/>
                <w:u w:val="single"/>
              </w:rPr>
              <w:t xml:space="preserve">Actividades, responsables y cronograma</w:t>
            </w:r>
            <w:r>
              <w:rPr>
                <w:rFonts w:ascii="Arial" w:cs="Arial" w:eastAsia="Arial" w:hAnsi="Arial"/>
                <w:sz w:val="19"/>
                <w:szCs w:val="19"/>
                <w:u w:val="single"/>
              </w:rPr>
              <w:t xml:space="preserve">, incluyendo el tiempo estimado de transición, que deberá ser compatible con el MTPD del proceso crítico.</w:t>
            </w:r>
          </w:p>
          <w:p>
            <w:pPr>
              <w:pStyle w:val="ListParagraph"/>
              <w:numPr>
                <w:ilvl w:val="0"/>
                <w:numId w:val="2"/>
              </w:numPr>
              <w:spacing w:after="80" w:line="264"/>
              <w:jc w:val="both"/>
            </w:pPr>
            <w:r>
              <w:rPr>
                <w:rFonts w:ascii="Arial" w:cs="Arial" w:eastAsia="Arial" w:hAnsi="Arial"/>
                <w:b/>
                <w:bCs/>
                <w:sz w:val="19"/>
                <w:szCs w:val="19"/>
                <w:u w:val="single"/>
              </w:rPr>
              <w:t xml:space="preserve">Datos e información:</w:t>
            </w:r>
            <w:r>
              <w:rPr>
                <w:rFonts w:ascii="Arial" w:cs="Arial" w:eastAsia="Arial" w:hAnsi="Arial"/>
                <w:sz w:val="19"/>
                <w:szCs w:val="19"/>
                <w:u w:val="single"/>
              </w:rPr>
              <w:t xml:space="preserve"> inventario de datos, formato de entrega, mecanismos de migración, validación de integridad y certificación de destrucción segura en los sistemas del proveedor.</w:t>
            </w:r>
          </w:p>
          <w:p>
            <w:pPr>
              <w:pStyle w:val="ListParagraph"/>
              <w:numPr>
                <w:ilvl w:val="0"/>
                <w:numId w:val="2"/>
              </w:numPr>
              <w:spacing w:after="80" w:line="264"/>
              <w:jc w:val="both"/>
            </w:pPr>
            <w:r>
              <w:rPr>
                <w:rFonts w:ascii="Arial" w:cs="Arial" w:eastAsia="Arial" w:hAnsi="Arial"/>
                <w:b/>
                <w:bCs/>
                <w:sz w:val="19"/>
                <w:szCs w:val="19"/>
                <w:u w:val="single"/>
              </w:rPr>
              <w:t xml:space="preserve">Componentes tecnológicos:</w:t>
            </w:r>
            <w:r>
              <w:rPr>
                <w:rFonts w:ascii="Arial" w:cs="Arial" w:eastAsia="Arial" w:hAnsi="Arial"/>
                <w:sz w:val="19"/>
                <w:szCs w:val="19"/>
                <w:u w:val="single"/>
              </w:rPr>
              <w:t xml:space="preserve"> licencias, código fuente o acuerdos de depósito (escrow), configuraciones, documentación técnica e interfaces.</w:t>
            </w:r>
          </w:p>
          <w:p>
            <w:pPr>
              <w:pStyle w:val="ListParagraph"/>
              <w:numPr>
                <w:ilvl w:val="0"/>
                <w:numId w:val="2"/>
              </w:numPr>
              <w:spacing w:after="80" w:line="264"/>
              <w:jc w:val="both"/>
            </w:pPr>
            <w:r>
              <w:rPr>
                <w:rFonts w:ascii="Arial" w:cs="Arial" w:eastAsia="Arial" w:hAnsi="Arial"/>
                <w:b/>
                <w:bCs/>
                <w:sz w:val="19"/>
                <w:szCs w:val="19"/>
                <w:u w:val="single"/>
              </w:rPr>
              <w:t xml:space="preserve">Costos estimados de salida</w:t>
            </w:r>
            <w:r>
              <w:rPr>
                <w:rFonts w:ascii="Arial" w:cs="Arial" w:eastAsia="Arial" w:hAnsi="Arial"/>
                <w:sz w:val="19"/>
                <w:szCs w:val="19"/>
                <w:u w:val="single"/>
              </w:rPr>
              <w:t xml:space="preserve"> y su efecto en el flujo de efectivo (NRP-15), así como la fuente de financiamiento.</w:t>
            </w:r>
          </w:p>
          <w:p>
            <w:pPr>
              <w:pStyle w:val="ListParagraph"/>
              <w:numPr>
                <w:ilvl w:val="0"/>
                <w:numId w:val="2"/>
              </w:numPr>
              <w:spacing w:after="80" w:line="264"/>
              <w:jc w:val="both"/>
            </w:pPr>
            <w:r>
              <w:rPr>
                <w:rFonts w:ascii="Arial" w:cs="Arial" w:eastAsia="Arial" w:hAnsi="Arial"/>
                <w:b/>
                <w:bCs/>
                <w:sz w:val="19"/>
                <w:szCs w:val="19"/>
                <w:u w:val="single"/>
              </w:rPr>
              <w:t xml:space="preserve">Plan de comunicación</w:t>
            </w:r>
            <w:r>
              <w:rPr>
                <w:rFonts w:ascii="Arial" w:cs="Arial" w:eastAsia="Arial" w:hAnsi="Arial"/>
                <w:sz w:val="19"/>
                <w:szCs w:val="19"/>
                <w:u w:val="single"/>
              </w:rPr>
              <w:t xml:space="preserve"> a asociados, Superintendencia y demás partes interesadas, cuando aplique.</w:t>
            </w:r>
          </w:p>
          <w:p>
            <w:pPr>
              <w:spacing w:after="80" w:line="264"/>
              <w:jc w:val="both"/>
            </w:pPr>
            <w:r>
              <w:rPr>
                <w:rFonts w:ascii="Arial" w:cs="Arial" w:eastAsia="Arial" w:hAnsi="Arial"/>
                <w:sz w:val="19"/>
                <w:szCs w:val="19"/>
                <w:u w:val="single"/>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pPr>
              <w:spacing w:after="80" w:line="264"/>
              <w:jc w:val="both"/>
            </w:pPr>
            <w:r>
              <w:rPr>
                <w:rFonts w:ascii="Arial" w:cs="Arial" w:eastAsia="Arial" w:hAnsi="Arial"/>
                <w:sz w:val="19"/>
                <w:szCs w:val="19"/>
                <w:u w:val="single"/>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IX. LINEAMIENTOS PARA MANTENER LA DEBIDA CONFIDENCIALIDAD Y SEGURIDAD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por las autoridades fiscalizadoras y supervisoras competentes. Asimismo, se deberá indicar que COMEDICA es la que tiene la propiedad exclusiva sobre todos sus datos o información relacionada con la actividad o proceso tercerizado, el proveedor no adquirirá ningún tipo de derechos o licencias a través del contrato para utilizar los datos o información que la Cooperativa le proporcione para sus propios fines.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establecida el derecho por parte de la Cooperativa a revocar los accesos o interrumpir la conexión a los sistemas o información de COMEDICA unilateralmente, </w:t>
            </w:r>
            <w:r>
              <w:rPr>
                <w:rFonts w:ascii="Arial" w:cs="Arial" w:eastAsia="Arial" w:hAnsi="Arial"/>
                <w:strike/>
                <w:sz w:val="19"/>
                <w:szCs w:val="19"/>
              </w:rPr>
              <w:t xml:space="preserve">si es que</w:t>
            </w:r>
            <w:r>
              <w:rPr>
                <w:rFonts w:ascii="Arial" w:cs="Arial" w:eastAsia="Arial" w:hAnsi="Arial"/>
                <w:sz w:val="19"/>
                <w:szCs w:val="19"/>
              </w:rPr>
              <w:t xml:space="preserve"> un ciberataque </w:t>
            </w:r>
            <w:r>
              <w:rPr>
                <w:rFonts w:ascii="Arial" w:cs="Arial" w:eastAsia="Arial" w:hAnsi="Arial"/>
                <w:strike/>
                <w:sz w:val="19"/>
                <w:szCs w:val="19"/>
              </w:rPr>
              <w:t xml:space="preserve">es detectado</w:t>
            </w:r>
            <w:r>
              <w:rPr>
                <w:rFonts w:ascii="Arial" w:cs="Arial" w:eastAsia="Arial" w:hAnsi="Arial"/>
                <w:sz w:val="19"/>
                <w:szCs w:val="19"/>
              </w:rPr>
              <w:t xml:space="preserve"> cuyo origen es la red o sistemas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tercerizado, </w:t>
            </w:r>
            <w:r>
              <w:rPr>
                <w:rFonts w:ascii="Arial" w:cs="Arial" w:eastAsia="Arial" w:hAnsi="Arial"/>
                <w:sz w:val="19"/>
                <w:szCs w:val="19"/>
                <w:u w:val="single"/>
              </w:rPr>
              <w:t xml:space="preserve">y que</w:t>
            </w:r>
            <w:r>
              <w:rPr>
                <w:rFonts w:ascii="Arial" w:cs="Arial" w:eastAsia="Arial" w:hAnsi="Arial"/>
                <w:sz w:val="19"/>
                <w:szCs w:val="19"/>
              </w:rPr>
              <w:t xml:space="preserve"> el proveedor no adquirirá ningún tipo de derechos o licencias a través del contrato para utilizar los datos o información que la Cooperativa le proporcione para sus propios fines (Anexo No. 1</w:t>
            </w:r>
            <w:r>
              <w:rPr>
                <w:rFonts w:ascii="Arial" w:cs="Arial" w:eastAsia="Arial" w:hAnsi="Arial"/>
                <w:sz w:val="19"/>
                <w:szCs w:val="19"/>
                <w:u w:val="single"/>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establecido el derecho de la Cooperativa a revocar los accesos o interrumpir la conexión a los sistemas o información de COMEDICA </w:t>
            </w:r>
            <w:r>
              <w:rPr>
                <w:rFonts w:ascii="Arial" w:cs="Arial" w:eastAsia="Arial" w:hAnsi="Arial"/>
                <w:sz w:val="19"/>
                <w:szCs w:val="19"/>
                <w:u w:val="single"/>
              </w:rPr>
              <w:t xml:space="preserve">de R.L.</w:t>
            </w:r>
            <w:r>
              <w:rPr>
                <w:rFonts w:ascii="Arial" w:cs="Arial" w:eastAsia="Arial" w:hAnsi="Arial"/>
                <w:sz w:val="19"/>
                <w:szCs w:val="19"/>
              </w:rPr>
              <w:t xml:space="preserve"> unilateralmente, si se detecta un ciberataque cuyo origen sea la red o los sistemas del proveedor</w:t>
            </w:r>
            <w:r>
              <w:rPr>
                <w:rFonts w:ascii="Arial" w:cs="Arial" w:eastAsia="Arial" w:hAnsi="Arial"/>
                <w:sz w:val="19"/>
                <w:szCs w:val="19"/>
                <w:u w:val="single"/>
              </w:rPr>
              <w:t xml:space="preserve">, sin que ello genere penalidad alguna para la Cooperativa.</w:t>
            </w:r>
          </w:p>
          <w:p>
            <w:pPr>
              <w:spacing w:after="80" w:line="264"/>
              <w:jc w:val="both"/>
            </w:pPr>
            <w:r>
              <w:rPr>
                <w:rFonts w:ascii="Arial" w:cs="Arial" w:eastAsia="Arial" w:hAnsi="Arial"/>
                <w:sz w:val="19"/>
                <w:szCs w:val="19"/>
                <w:u w:val="single"/>
              </w:rPr>
              <w:t xml:space="preserve">Adicionalmente, los contratos deberán asegurar:</w:t>
            </w:r>
          </w:p>
          <w:p>
            <w:pPr>
              <w:pStyle w:val="ListParagraph"/>
              <w:numPr>
                <w:ilvl w:val="0"/>
                <w:numId w:val="2"/>
              </w:numPr>
              <w:spacing w:after="80" w:line="264"/>
              <w:jc w:val="both"/>
            </w:pPr>
            <w:r>
              <w:rPr>
                <w:rFonts w:ascii="Arial" w:cs="Arial" w:eastAsia="Arial" w:hAnsi="Arial"/>
                <w:sz w:val="19"/>
                <w:szCs w:val="19"/>
                <w:u w:val="single"/>
              </w:rPr>
              <w:t xml:space="preserve">Cifrado de la información en tránsito y en reposo, con gestión de llaves criptográficas que permita a la Cooperativa conservar el control de sus datos.</w:t>
            </w:r>
          </w:p>
          <w:p>
            <w:pPr>
              <w:pStyle w:val="ListParagraph"/>
              <w:numPr>
                <w:ilvl w:val="0"/>
                <w:numId w:val="2"/>
              </w:numPr>
              <w:spacing w:after="80" w:line="264"/>
              <w:jc w:val="both"/>
            </w:pPr>
            <w:r>
              <w:rPr>
                <w:rFonts w:ascii="Arial" w:cs="Arial" w:eastAsia="Arial" w:hAnsi="Arial"/>
                <w:sz w:val="19"/>
                <w:szCs w:val="19"/>
                <w:u w:val="single"/>
              </w:rPr>
              <w:t xml:space="preserve">Aplicación del principio de mínimo privilegio, autenticación robusta y registro (bitácoras) de los accesos del personal del proveedor a los sistemas e información de la Cooperativa, disponibles para revisión.</w:t>
            </w:r>
          </w:p>
          <w:p>
            <w:pPr>
              <w:pStyle w:val="ListParagraph"/>
              <w:numPr>
                <w:ilvl w:val="0"/>
                <w:numId w:val="2"/>
              </w:numPr>
              <w:spacing w:after="80" w:line="264"/>
              <w:jc w:val="both"/>
            </w:pPr>
            <w:r>
              <w:rPr>
                <w:rFonts w:ascii="Arial" w:cs="Arial" w:eastAsia="Arial" w:hAnsi="Arial"/>
                <w:sz w:val="19"/>
                <w:szCs w:val="19"/>
                <w:u w:val="single"/>
              </w:rPr>
              <w:t xml:space="preserve">Conocimiento y autorización previa por parte de la Cooperativa de la ubicación (país y ciudad) del procesamiento, almacenamiento y respaldo de la información.</w:t>
            </w:r>
          </w:p>
          <w:p>
            <w:pPr>
              <w:pStyle w:val="ListParagraph"/>
              <w:numPr>
                <w:ilvl w:val="0"/>
                <w:numId w:val="2"/>
              </w:numPr>
              <w:spacing w:after="80" w:line="264"/>
              <w:jc w:val="both"/>
            </w:pPr>
            <w:r>
              <w:rPr>
                <w:rFonts w:ascii="Arial" w:cs="Arial" w:eastAsia="Arial" w:hAnsi="Arial"/>
                <w:sz w:val="19"/>
                <w:szCs w:val="19"/>
                <w:u w:val="single"/>
              </w:rPr>
              <w:t xml:space="preserve">Devolución de la información en formato legible y utilizable, y destrucción segura certificada en los sistemas del proveedor y subcontratistas al finalizar el contrato.</w:t>
            </w:r>
          </w:p>
          <w:p>
            <w:pPr>
              <w:pStyle w:val="ListParagraph"/>
              <w:numPr>
                <w:ilvl w:val="0"/>
                <w:numId w:val="2"/>
              </w:numPr>
              <w:spacing w:after="80" w:line="264"/>
              <w:jc w:val="both"/>
            </w:pPr>
            <w:r>
              <w:rPr>
                <w:rFonts w:ascii="Arial" w:cs="Arial" w:eastAsia="Arial" w:hAnsi="Arial"/>
                <w:sz w:val="19"/>
                <w:szCs w:val="19"/>
                <w:u w:val="single"/>
              </w:rPr>
              <w:t xml:space="preserve">Notificación inmediata a la Cooperativa de cualquier incidente de seguridad que afecte su información, en un plazo que le permita informar a la Superintendencia dentro del plazo regulatorio establecido en la NRP-23.</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 LINEAMIENTOS PARA PREVENIR Y EVITAR CONFLICTOS DE INTERESES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Jefe de Servicios Generales velará porque los proveedores de Servicios Críticos Tercerizados, llenen el formulario de Carta de Compromiso Transparencia en las Relaciones Comerciales, para que confirme que no posee conflictos de interés, de conformidad a lo establecido en el Código de Gobierno Corporativo, Código de Conducta y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u w:val="single"/>
              </w:rPr>
              <w:t xml:space="preserve">El</w:t>
            </w:r>
            <w:r>
              <w:rPr>
                <w:rFonts w:ascii="Arial" w:cs="Arial" w:eastAsia="Arial" w:hAnsi="Arial"/>
                <w:sz w:val="19"/>
                <w:szCs w:val="19"/>
              </w:rPr>
              <w:t xml:space="preserve"> Jefe de Servicios Generales velará porque los proveedores de Servicios Críticos Tercerizados llenen el formulario de Carta de Compromiso Transparencia en las Relaciones Comerciales, para que confirme</w:t>
            </w:r>
            <w:r>
              <w:rPr>
                <w:rFonts w:ascii="Arial" w:cs="Arial" w:eastAsia="Arial" w:hAnsi="Arial"/>
                <w:sz w:val="19"/>
                <w:szCs w:val="19"/>
                <w:u w:val="single"/>
              </w:rPr>
              <w:t xml:space="preserve">n</w:t>
            </w:r>
            <w:r>
              <w:rPr>
                <w:rFonts w:ascii="Arial" w:cs="Arial" w:eastAsia="Arial" w:hAnsi="Arial"/>
                <w:sz w:val="19"/>
                <w:szCs w:val="19"/>
              </w:rPr>
              <w:t xml:space="preserve"> que no poseen conflictos de interés, de conformidad a lo establecido en el Código de Gobierno Corporativo, Código de Conducta y Manual de Compras de Bienes y Servicios (RP-GA-M-001)</w:t>
            </w:r>
            <w:r>
              <w:rPr>
                <w:rFonts w:ascii="Arial" w:cs="Arial" w:eastAsia="Arial" w:hAnsi="Arial"/>
                <w:sz w:val="19"/>
                <w:szCs w:val="19"/>
                <w:u w:val="single"/>
              </w:rPr>
              <w:t xml:space="preserve">, y en las Normas Técnicas de Gobierno Corporativo (NRP-17).</w:t>
            </w:r>
          </w:p>
          <w:p>
            <w:pPr>
              <w:spacing w:after="80" w:line="264"/>
              <w:jc w:val="both"/>
            </w:pPr>
            <w:r>
              <w:rPr>
                <w:rFonts w:ascii="Arial" w:cs="Arial" w:eastAsia="Arial" w:hAnsi="Arial"/>
                <w:sz w:val="19"/>
                <w:szCs w:val="19"/>
                <w:u w:val="single"/>
              </w:rPr>
              <w:t xml:space="preserve">Dicha declaración deberá actualizarse anualmente y cada vez que ocurra un cambio en la estructura accionaria o en la administración del proveedor.</w:t>
            </w:r>
          </w:p>
          <w:p>
            <w:pPr>
              <w:spacing w:after="80" w:line="264"/>
              <w:jc w:val="both"/>
            </w:pPr>
            <w:r>
              <w:rPr>
                <w:rFonts w:ascii="Arial" w:cs="Arial" w:eastAsia="Arial" w:hAnsi="Arial"/>
                <w:sz w:val="19"/>
                <w:szCs w:val="19"/>
                <w:u w:val="single"/>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 MONITOREO, INDICADORES CLAVE DE RIESGO Y REPORTES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 MONITOREO, INDICADORES CLAVE DE RIESGO Y REPORTES</w:t>
            </w:r>
          </w:p>
          <w:p>
            <w:pPr>
              <w:spacing w:after="80" w:line="264"/>
              <w:jc w:val="both"/>
            </w:pPr>
            <w:r>
              <w:rPr>
                <w:rFonts w:ascii="Arial" w:cs="Arial" w:eastAsia="Arial" w:hAnsi="Arial"/>
                <w:sz w:val="19"/>
                <w:szCs w:val="19"/>
                <w:u w:val="single"/>
              </w:rPr>
              <w:t xml:space="preserve">El Departamento de Administración de Riesgos establecerá y dará seguimiento, como mínimo, a los siguientes indicadores clave de riesgo (KRI) de tercerización:</w:t>
            </w:r>
          </w:p>
          <w:p>
            <w:pPr>
              <w:pStyle w:val="ListParagraph"/>
              <w:numPr>
                <w:ilvl w:val="0"/>
                <w:numId w:val="2"/>
              </w:numPr>
              <w:spacing w:after="80" w:line="264"/>
              <w:jc w:val="both"/>
            </w:pPr>
            <w:r>
              <w:rPr>
                <w:rFonts w:ascii="Arial" w:cs="Arial" w:eastAsia="Arial" w:hAnsi="Arial"/>
                <w:sz w:val="19"/>
                <w:szCs w:val="19"/>
                <w:u w:val="single"/>
              </w:rPr>
              <w:t xml:space="preserve">Porcentaje de cumplimiento de ANS por proveedor crítico.</w:t>
            </w:r>
          </w:p>
          <w:p>
            <w:pPr>
              <w:pStyle w:val="ListParagraph"/>
              <w:numPr>
                <w:ilvl w:val="0"/>
                <w:numId w:val="2"/>
              </w:numPr>
              <w:spacing w:after="80" w:line="264"/>
              <w:jc w:val="both"/>
            </w:pPr>
            <w:r>
              <w:rPr>
                <w:rFonts w:ascii="Arial" w:cs="Arial" w:eastAsia="Arial" w:hAnsi="Arial"/>
                <w:sz w:val="19"/>
                <w:szCs w:val="19"/>
                <w:u w:val="single"/>
              </w:rPr>
              <w:t xml:space="preserve">Número y severidad de incidentes e interrupciones atribuibles a proveedores, y pérdidas asociadas (NRP-42).</w:t>
            </w:r>
          </w:p>
          <w:p>
            <w:pPr>
              <w:pStyle w:val="ListParagraph"/>
              <w:numPr>
                <w:ilvl w:val="0"/>
                <w:numId w:val="2"/>
              </w:numPr>
              <w:spacing w:after="80" w:line="264"/>
              <w:jc w:val="both"/>
            </w:pPr>
            <w:r>
              <w:rPr>
                <w:rFonts w:ascii="Arial" w:cs="Arial" w:eastAsia="Arial" w:hAnsi="Arial"/>
                <w:sz w:val="19"/>
                <w:szCs w:val="19"/>
                <w:u w:val="single"/>
              </w:rPr>
              <w:t xml:space="preserve">Índice de concentración: número de servicios críticos y porcentaje del gasto en servicios críticos por proveedor o grupo económico (NRP-20 / NRP-17).</w:t>
            </w:r>
          </w:p>
          <w:p>
            <w:pPr>
              <w:pStyle w:val="ListParagraph"/>
              <w:numPr>
                <w:ilvl w:val="0"/>
                <w:numId w:val="2"/>
              </w:numPr>
              <w:spacing w:after="80" w:line="264"/>
              <w:jc w:val="both"/>
            </w:pPr>
            <w:r>
              <w:rPr>
                <w:rFonts w:ascii="Arial" w:cs="Arial" w:eastAsia="Arial" w:hAnsi="Arial"/>
                <w:sz w:val="19"/>
                <w:szCs w:val="19"/>
                <w:u w:val="single"/>
              </w:rPr>
              <w:t xml:space="preserve">Proveedores críticos con deterioro en su calificación financiera o de riesgo de contraparte.</w:t>
            </w:r>
          </w:p>
          <w:p>
            <w:pPr>
              <w:pStyle w:val="ListParagraph"/>
              <w:numPr>
                <w:ilvl w:val="0"/>
                <w:numId w:val="2"/>
              </w:numPr>
              <w:spacing w:after="80" w:line="264"/>
              <w:jc w:val="both"/>
            </w:pPr>
            <w:r>
              <w:rPr>
                <w:rFonts w:ascii="Arial" w:cs="Arial" w:eastAsia="Arial" w:hAnsi="Arial"/>
                <w:sz w:val="19"/>
                <w:szCs w:val="19"/>
                <w:u w:val="single"/>
              </w:rPr>
              <w:t xml:space="preserve">Monto comprometido con proveedores críticos y su proporción respecto de los gastos operativos, y exposición por anticipos no garantizados (NRP-15).</w:t>
            </w:r>
          </w:p>
          <w:p>
            <w:pPr>
              <w:pStyle w:val="ListParagraph"/>
              <w:numPr>
                <w:ilvl w:val="0"/>
                <w:numId w:val="2"/>
              </w:numPr>
              <w:spacing w:after="80" w:line="264"/>
              <w:jc w:val="both"/>
            </w:pPr>
            <w:r>
              <w:rPr>
                <w:rFonts w:ascii="Arial" w:cs="Arial" w:eastAsia="Arial" w:hAnsi="Arial"/>
                <w:sz w:val="19"/>
                <w:szCs w:val="19"/>
                <w:u w:val="single"/>
              </w:rPr>
              <w:t xml:space="preserve">Porcentaje de proveedores críticos con prueba de continuidad vigente y con Plan de Salida aprobado y probado (NRP-24).</w:t>
            </w:r>
          </w:p>
          <w:p>
            <w:pPr>
              <w:pStyle w:val="ListParagraph"/>
              <w:numPr>
                <w:ilvl w:val="0"/>
                <w:numId w:val="2"/>
              </w:numPr>
              <w:spacing w:after="80" w:line="264"/>
              <w:jc w:val="both"/>
            </w:pPr>
            <w:r>
              <w:rPr>
                <w:rFonts w:ascii="Arial" w:cs="Arial" w:eastAsia="Arial" w:hAnsi="Arial"/>
                <w:sz w:val="19"/>
                <w:szCs w:val="19"/>
                <w:u w:val="single"/>
              </w:rPr>
              <w:t xml:space="preserve">Brechas de seguridad de la información abiertas y vulnerabilidades críticas no corregidas en plazo (NRP-23 / NRP-20).</w:t>
            </w:r>
          </w:p>
          <w:p>
            <w:pPr>
              <w:spacing w:after="80" w:line="264"/>
              <w:jc w:val="both"/>
            </w:pPr>
            <w:r>
              <w:rPr>
                <w:rFonts w:ascii="Arial" w:cs="Arial" w:eastAsia="Arial" w:hAnsi="Arial"/>
                <w:sz w:val="19"/>
                <w:szCs w:val="19"/>
                <w:u w:val="single"/>
              </w:rPr>
              <w:t xml:space="preserve">Los resultados se informarán semestralmente al Comité de Riesgos y anualmente al Consejo de Administración, junto con la Matriz Centralizada de Servicios Críticos Tercerizados actualizada.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 GESTIÓN DE EVENTOS DE RIESGO OPERACIONAL E INCIDENTES DEL PROVEEDOR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XII. GESTIÓN DE EVENTOS DE RIESGO OPERACIONAL E INCIDENTES DEL PROVEEDOR</w:t>
            </w:r>
          </w:p>
          <w:p>
            <w:pPr>
              <w:spacing w:after="80" w:line="264"/>
              <w:jc w:val="both"/>
            </w:pPr>
            <w:r>
              <w:rPr>
                <w:rFonts w:ascii="Arial" w:cs="Arial" w:eastAsia="Arial" w:hAnsi="Arial"/>
                <w:sz w:val="19"/>
                <w:szCs w:val="19"/>
                <w:u w:val="single"/>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pPr>
              <w:spacing w:after="80" w:line="264"/>
              <w:jc w:val="both"/>
            </w:pPr>
            <w:r>
              <w:rPr>
                <w:rFonts w:ascii="Arial" w:cs="Arial" w:eastAsia="Arial" w:hAnsi="Arial"/>
                <w:sz w:val="19"/>
                <w:szCs w:val="19"/>
                <w:u w:val="single"/>
              </w:rPr>
              <w:t xml:space="preserve">Los eventos que se clasifiquen como incidentes relevantes de seguridad de la información o de continuidad deberán ser comunicados a la Superintendencia del Sistema Financiero en los plazos y formas establecidos en la normativa aplicable.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XIII. ACTUALIZACIÓN (ANTES XI)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y actualizará cuando existan modificaciones en la normativa interna y externa aplicables a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XIII.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w:t>
            </w:r>
            <w:r>
              <w:rPr>
                <w:rFonts w:ascii="Arial" w:cs="Arial" w:eastAsia="Arial" w:hAnsi="Arial"/>
                <w:sz w:val="19"/>
                <w:szCs w:val="19"/>
                <w:u w:val="single"/>
              </w:rPr>
              <w:t xml:space="preserve">al menos una vez al año</w:t>
            </w:r>
            <w:r>
              <w:rPr>
                <w:rFonts w:ascii="Arial" w:cs="Arial" w:eastAsia="Arial" w:hAnsi="Arial"/>
                <w:sz w:val="19"/>
                <w:szCs w:val="19"/>
              </w:rPr>
              <w:t xml:space="preserve"> y se actualizará cuando existan modificaciones en la normativa interna y externa aplicable a la Cooperativa</w:t>
            </w:r>
            <w:r>
              <w:rPr>
                <w:rFonts w:ascii="Arial" w:cs="Arial" w:eastAsia="Arial" w:hAnsi="Arial"/>
                <w:sz w:val="19"/>
                <w:szCs w:val="19"/>
                <w:u w:val="single"/>
              </w:rPr>
              <w:t xml:space="preserve">, cambios significativos en el perfil de riesgo de tercerización, o a requerimiento de la Superintendencia, del Comité de Riesgos o de Auditoría Interna.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XIV. APROBACIÓN (ANTES XII)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someterlo a validación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y posterior aprobación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XIV.</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someterla a validación del Comité de Riesgos y posterior aprobación del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 VIGENCIA (ANTES XIII)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XIII.</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XV.</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p>
            <w:pPr>
              <w:spacing w:after="80" w:line="264"/>
              <w:jc w:val="both"/>
            </w:pPr>
            <w:r>
              <w:rPr>
                <w:rFonts w:ascii="Arial" w:cs="Arial" w:eastAsia="Arial" w:hAnsi="Arial"/>
                <w:sz w:val="19"/>
                <w:szCs w:val="19"/>
                <w:u w:val="single"/>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XVI. DISPOSICIÓN FINAL (ANTES XIV)</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XIV.</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XVI.</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r>
              <w:rPr>
                <w:rFonts w:ascii="Arial" w:cs="Arial" w:eastAsia="Arial" w:hAnsi="Arial"/>
                <w:sz w:val="19"/>
                <w:szCs w:val="19"/>
                <w:u w:val="single"/>
              </w:rPr>
              <w:t xml:space="preserve">, previa opinión del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ENCABEZADO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Actividades u Operaciones de Tecnología de </w:t>
            </w:r>
            <w:r>
              <w:rPr>
                <w:rFonts w:ascii="Arial" w:cs="Arial" w:eastAsia="Arial" w:hAnsi="Arial"/>
                <w:b/>
                <w:bCs/>
                <w:strike/>
                <w:sz w:val="19"/>
                <w:szCs w:val="19"/>
              </w:rPr>
              <w:t xml:space="preserve">Servicios Críticos</w:t>
            </w:r>
            <w:r>
              <w:rPr>
                <w:rFonts w:ascii="Arial" w:cs="Arial" w:eastAsia="Arial" w:hAnsi="Arial"/>
                <w:b/>
                <w:bCs/>
                <w:sz w:val="19"/>
                <w:szCs w:val="19"/>
              </w:rPr>
              <w:t xml:space="preserve">.</w:t>
            </w:r>
          </w:p>
          <w:p>
            <w:pPr>
              <w:spacing w:after="80" w:line="264"/>
              <w:jc w:val="both"/>
            </w:pPr>
            <w:r>
              <w:rPr>
                <w:rFonts w:ascii="Arial" w:cs="Arial" w:eastAsia="Arial" w:hAnsi="Arial"/>
                <w:sz w:val="19"/>
                <w:szCs w:val="19"/>
              </w:rPr>
              <w:t xml:space="preserve">Los departamentos o áreas que soliciten tercerizar actividades y operaciones de tecnología de información relacionada a productos o servicios financieros, deberán gestionar con el proveedor y las áreas relacionadas los siguientes requerimientos establecidos en la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w:t>
            </w:r>
            <w:r>
              <w:rPr>
                <w:rFonts w:ascii="Arial" w:cs="Arial" w:eastAsia="Arial" w:hAnsi="Arial"/>
                <w:b/>
                <w:bCs/>
                <w:sz w:val="19"/>
                <w:szCs w:val="19"/>
                <w:u w:val="single"/>
              </w:rPr>
              <w:t xml:space="preserve">Servicios Críticos, incluyendo</w:t>
            </w:r>
            <w:r>
              <w:rPr>
                <w:rFonts w:ascii="Arial" w:cs="Arial" w:eastAsia="Arial" w:hAnsi="Arial"/>
                <w:b/>
                <w:bCs/>
                <w:sz w:val="19"/>
                <w:szCs w:val="19"/>
              </w:rPr>
              <w:t xml:space="preserve"> Actividades u Operaciones de Tecnología de </w:t>
            </w:r>
            <w:r>
              <w:rPr>
                <w:rFonts w:ascii="Arial" w:cs="Arial" w:eastAsia="Arial" w:hAnsi="Arial"/>
                <w:b/>
                <w:bCs/>
                <w:sz w:val="19"/>
                <w:szCs w:val="19"/>
                <w:u w:val="single"/>
              </w:rPr>
              <w:t xml:space="preserve">la Información.</w:t>
            </w:r>
          </w:p>
          <w:p>
            <w:pPr>
              <w:spacing w:after="80" w:line="264"/>
              <w:jc w:val="both"/>
            </w:pPr>
            <w:r>
              <w:rPr>
                <w:rFonts w:ascii="Arial" w:cs="Arial" w:eastAsia="Arial" w:hAnsi="Arial"/>
                <w:sz w:val="19"/>
                <w:szCs w:val="19"/>
              </w:rPr>
              <w:t xml:space="preserve">Los departamentos o áreas que soliciten tercerizar </w:t>
            </w:r>
            <w:r>
              <w:rPr>
                <w:rFonts w:ascii="Arial" w:cs="Arial" w:eastAsia="Arial" w:hAnsi="Arial"/>
                <w:sz w:val="19"/>
                <w:szCs w:val="19"/>
                <w:u w:val="single"/>
              </w:rPr>
              <w:t xml:space="preserve">servicios críticos, incluyendo</w:t>
            </w:r>
            <w:r>
              <w:rPr>
                <w:rFonts w:ascii="Arial" w:cs="Arial" w:eastAsia="Arial" w:hAnsi="Arial"/>
                <w:sz w:val="19"/>
                <w:szCs w:val="19"/>
              </w:rPr>
              <w:t xml:space="preserve"> actividades y operaciones de tecnología de información relacionadas a productos o servicios financieros, deberán gestionar con el proveedor y las áreas relacionadas los siguientes requerimientos establecidos en la NRP-23</w:t>
            </w:r>
            <w:r>
              <w:rPr>
                <w:rFonts w:ascii="Arial" w:cs="Arial" w:eastAsia="Arial" w:hAnsi="Arial"/>
                <w:sz w:val="19"/>
                <w:szCs w:val="19"/>
                <w:u w:val="single"/>
              </w:rPr>
              <w:t xml:space="preserve">, NRP-20, NRP-42, NRP-24, NRP-17 y NRP-15. Los requerimientos marcados como “TI” aplican únicamente a servicios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A: “INFORMACIÓN Y DOCUMENTOS REQUERIDOS PARA CONTRATAR”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de riesgos a efecto de identificar aquellos riesgos derivados de los servicios a contratar y establecer los mecanismos de mitigación apropiados. Evaluar riesgos derivados de la capacidad del proveedor respecto a la concentración de instituciones con el proveedor.</w:t>
            </w:r>
          </w:p>
          <w:p>
            <w:pPr>
              <w:spacing w:after="80" w:line="264"/>
              <w:jc w:val="both"/>
            </w:pPr>
            <w:r>
              <w:rPr>
                <w:rFonts w:ascii="Arial" w:cs="Arial" w:eastAsia="Arial" w:hAnsi="Arial"/>
                <w:sz w:val="19"/>
                <w:szCs w:val="19"/>
              </w:rPr>
              <w:t xml:space="preserve">Requerimiento: Solicitar Depto. de Riesgos.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w:t>
            </w:r>
            <w:r>
              <w:rPr>
                <w:rFonts w:ascii="Arial" w:cs="Arial" w:eastAsia="Arial" w:hAnsi="Arial"/>
                <w:sz w:val="19"/>
                <w:szCs w:val="19"/>
                <w:u w:val="single"/>
              </w:rPr>
              <w:t xml:space="preserve">integral</w:t>
            </w:r>
            <w:r>
              <w:rPr>
                <w:rFonts w:ascii="Arial" w:cs="Arial" w:eastAsia="Arial" w:hAnsi="Arial"/>
                <w:sz w:val="19"/>
                <w:szCs w:val="19"/>
              </w:rPr>
              <w:t xml:space="preserve"> de riesgos a efecto de identificar aquellos riesgos derivados de los servicios a contratar </w:t>
            </w:r>
            <w:r>
              <w:rPr>
                <w:rFonts w:ascii="Arial" w:cs="Arial" w:eastAsia="Arial" w:hAnsi="Arial"/>
                <w:sz w:val="19"/>
                <w:szCs w:val="19"/>
                <w:u w:val="single"/>
              </w:rPr>
              <w:t xml:space="preserve">(operacional – NRP-42, tecnológico – NRP-20, continuidad – NRP-24, concentración y contraparte – NRP-20/NRP-17, e impacto en liquidez – NRP-15)</w:t>
            </w:r>
            <w:r>
              <w:rPr>
                <w:rFonts w:ascii="Arial" w:cs="Arial" w:eastAsia="Arial" w:hAnsi="Arial"/>
                <w:sz w:val="19"/>
                <w:szCs w:val="19"/>
              </w:rPr>
              <w:t xml:space="preserve"> y establecer los mecanismos de mitigación apropiados. Evaluar riesgos derivados de la capacidad del proveedor respecto a la concentración de instituciones con el proveedor</w:t>
            </w:r>
            <w:r>
              <w:rPr>
                <w:rFonts w:ascii="Arial" w:cs="Arial" w:eastAsia="Arial" w:hAnsi="Arial"/>
                <w:sz w:val="19"/>
                <w:szCs w:val="19"/>
                <w:u w:val="single"/>
              </w:rPr>
              <w:t xml:space="preserve">, así como la concentración de la propia Cooperativa en dicho proveedor, su grupo económico y sus subcontratistas.</w:t>
            </w:r>
          </w:p>
          <w:p>
            <w:pPr>
              <w:spacing w:after="80" w:line="264"/>
              <w:jc w:val="both"/>
            </w:pPr>
            <w:r>
              <w:rPr>
                <w:rFonts w:ascii="Arial" w:cs="Arial" w:eastAsia="Arial" w:hAnsi="Arial"/>
                <w:sz w:val="19"/>
                <w:szCs w:val="19"/>
              </w:rPr>
              <w:t xml:space="preserve">Requerimiento: Solicitar Depto. de </w:t>
            </w:r>
            <w:r>
              <w:rPr>
                <w:rFonts w:ascii="Arial" w:cs="Arial" w:eastAsia="Arial" w:hAnsi="Arial"/>
                <w:sz w:val="19"/>
                <w:szCs w:val="19"/>
                <w:u w:val="single"/>
              </w:rPr>
              <w:t xml:space="preserve">Administración de</w:t>
            </w:r>
            <w:r>
              <w:rPr>
                <w:rFonts w:ascii="Arial" w:cs="Arial" w:eastAsia="Arial" w:hAnsi="Arial"/>
                <w:sz w:val="19"/>
                <w:szCs w:val="19"/>
              </w:rPr>
              <w:t xml:space="preserv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p>
          <w:p>
            <w:pPr>
              <w:spacing w:after="80" w:line="264"/>
              <w:jc w:val="both"/>
            </w:pPr>
            <w:r>
              <w:rPr>
                <w:rFonts w:ascii="Arial" w:cs="Arial" w:eastAsia="Arial" w:hAnsi="Arial"/>
                <w:sz w:val="19"/>
                <w:szCs w:val="19"/>
              </w:rPr>
              <w:t xml:space="preserve">Requerimiento: Formulario Conoce tu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r>
              <w:rPr>
                <w:rFonts w:ascii="Arial" w:cs="Arial" w:eastAsia="Arial" w:hAnsi="Arial"/>
                <w:sz w:val="19"/>
                <w:szCs w:val="19"/>
                <w:u w:val="single"/>
              </w:rPr>
              <w:t xml:space="preserve">, incluyendo la verificación del proveedor, sus accionistas y representantes legales en listas de control.</w:t>
            </w:r>
          </w:p>
          <w:p>
            <w:pPr>
              <w:spacing w:after="80" w:line="264"/>
              <w:jc w:val="both"/>
            </w:pPr>
            <w:r>
              <w:rPr>
                <w:rFonts w:ascii="Arial" w:cs="Arial" w:eastAsia="Arial" w:hAnsi="Arial"/>
                <w:sz w:val="19"/>
                <w:szCs w:val="19"/>
              </w:rPr>
              <w:t xml:space="preserve">Requerimiento: Formulario Conoce tu proveedor</w:t>
            </w:r>
            <w:r>
              <w:rPr>
                <w:rFonts w:ascii="Arial" w:cs="Arial" w:eastAsia="Arial" w:hAnsi="Arial"/>
                <w:sz w:val="19"/>
                <w:szCs w:val="19"/>
                <w:u w:val="single"/>
              </w:rPr>
              <w:t xml:space="preserve">, actualizado anualmente.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w:t>
            </w:r>
            <w:r>
              <w:rPr>
                <w:rFonts w:ascii="Arial" w:cs="Arial" w:eastAsia="Arial" w:hAnsi="Arial"/>
                <w:sz w:val="19"/>
                <w:szCs w:val="19"/>
                <w:u w:val="single"/>
              </w:rPr>
              <w:t xml:space="preserve">estructura accionaria y grupo económico al que pertenece,</w:t>
            </w:r>
            <w:r>
              <w:rPr>
                <w:rFonts w:ascii="Arial" w:cs="Arial" w:eastAsia="Arial" w:hAnsi="Arial"/>
                <w:sz w:val="19"/>
                <w:szCs w:val="19"/>
              </w:rPr>
              <w:t xml:space="preserve">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p>
          <w:p>
            <w:pPr>
              <w:spacing w:after="80" w:line="264"/>
              <w:jc w:val="both"/>
            </w:pPr>
            <w:r>
              <w:rPr>
                <w:rFonts w:ascii="Arial" w:cs="Arial" w:eastAsia="Arial" w:hAnsi="Arial"/>
                <w:sz w:val="19"/>
                <w:szCs w:val="19"/>
              </w:rPr>
              <w:t xml:space="preserve">Requerimiento: Documentos establecidos en el Manual de Compras.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r>
              <w:rPr>
                <w:rFonts w:ascii="Arial" w:cs="Arial" w:eastAsia="Arial" w:hAnsi="Arial"/>
                <w:sz w:val="19"/>
                <w:szCs w:val="19"/>
                <w:u w:val="single"/>
              </w:rPr>
              <w:t xml:space="preserve">, ni relación de parte relacionada no declarada (NRP-17).</w:t>
            </w:r>
          </w:p>
          <w:p>
            <w:pPr>
              <w:spacing w:after="80" w:line="264"/>
              <w:jc w:val="both"/>
            </w:pPr>
            <w:r>
              <w:rPr>
                <w:rFonts w:ascii="Arial" w:cs="Arial" w:eastAsia="Arial" w:hAnsi="Arial"/>
                <w:sz w:val="19"/>
                <w:szCs w:val="19"/>
              </w:rPr>
              <w:t xml:space="preserve">Requerimiento: Documentos establecidos en el Manual de Compras </w:t>
            </w:r>
            <w:r>
              <w:rPr>
                <w:rFonts w:ascii="Arial" w:cs="Arial" w:eastAsia="Arial" w:hAnsi="Arial"/>
                <w:sz w:val="19"/>
                <w:szCs w:val="19"/>
                <w:u w:val="single"/>
              </w:rPr>
              <w:t xml:space="preserve">y Carta de Compromiso Transparencia en las Relaciones Comerciales.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 Solicitar a Gerencia de Finanzas Análisis Financiero.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w:t>
            </w:r>
            <w:r>
              <w:rPr>
                <w:rFonts w:ascii="Arial" w:cs="Arial" w:eastAsia="Arial" w:hAnsi="Arial"/>
                <w:sz w:val="19"/>
                <w:szCs w:val="19"/>
                <w:u w:val="single"/>
              </w:rPr>
              <w:t xml:space="preserve">y riesgo de contraparte, con base en estados financieros auditados de los dos últimos ejercicios, indicadores de solvencia, liquidez y endeudamiento, y calificación de riesgo cuando exista.</w:t>
            </w:r>
            <w:r>
              <w:rPr>
                <w:rFonts w:ascii="Arial" w:cs="Arial" w:eastAsia="Arial" w:hAnsi="Arial"/>
                <w:sz w:val="19"/>
                <w:szCs w:val="19"/>
              </w:rPr>
              <w:t xml:space="preserve"> — Solicitar a Gerencia de Finanzas Análisis Financiero</w:t>
            </w:r>
            <w:r>
              <w:rPr>
                <w:rFonts w:ascii="Arial" w:cs="Arial" w:eastAsia="Arial" w:hAnsi="Arial"/>
                <w:sz w:val="19"/>
                <w:szCs w:val="19"/>
                <w:u w:val="single"/>
              </w:rPr>
              <w:t xml:space="preserve">, con actualización anual durante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w:t>
            </w:r>
            <w:r>
              <w:rPr>
                <w:rFonts w:ascii="Arial" w:cs="Arial" w:eastAsia="Arial" w:hAnsi="Arial"/>
                <w:sz w:val="19"/>
                <w:szCs w:val="19"/>
                <w:u w:val="single"/>
              </w:rPr>
              <w:t xml:space="preserve">, preferentemente en el sector financiero.</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 Referencias de Servicios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w:t>
            </w:r>
            <w:r>
              <w:rPr>
                <w:rFonts w:ascii="Arial" w:cs="Arial" w:eastAsia="Arial" w:hAnsi="Arial"/>
                <w:sz w:val="19"/>
                <w:szCs w:val="19"/>
                <w:u w:val="single"/>
              </w:rPr>
              <w:t xml:space="preserve">, incluyendo litigios, sanciones regulatorias y noticias adversas.</w:t>
            </w:r>
            <w:r>
              <w:rPr>
                <w:rFonts w:ascii="Arial" w:cs="Arial" w:eastAsia="Arial" w:hAnsi="Arial"/>
                <w:sz w:val="19"/>
                <w:szCs w:val="19"/>
              </w:rPr>
              <w:t xml:space="preserve"> — Referencias de Servicios a solicitar en la Cotización o propuesta de servicios</w:t>
            </w:r>
            <w:r>
              <w:rPr>
                <w:rFonts w:ascii="Arial" w:cs="Arial" w:eastAsia="Arial" w:hAnsi="Arial"/>
                <w:sz w:val="19"/>
                <w:szCs w:val="19"/>
                <w:u w:val="single"/>
              </w:rPr>
              <w:t xml:space="preserve">, y consulta en fuentes públicas por el Administrador de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w:t>
            </w:r>
            <w:r>
              <w:rPr>
                <w:rFonts w:ascii="Arial" w:cs="Arial" w:eastAsia="Arial" w:hAnsi="Arial"/>
                <w:sz w:val="19"/>
                <w:szCs w:val="19"/>
                <w:u w:val="single"/>
              </w:rPr>
              <w:t xml:space="preserve">, incluida la capacidad para absorber incrementos de demanda.</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w:t>
            </w:r>
            <w:r>
              <w:rPr>
                <w:rFonts w:ascii="Arial" w:cs="Arial" w:eastAsia="Arial" w:hAnsi="Arial"/>
                <w:sz w:val="19"/>
                <w:szCs w:val="19"/>
                <w:u w:val="single"/>
              </w:rPr>
              <w:t xml:space="preserve">, incluyendo los sitios de procesamiento, almacenamiento, respaldo y recuperación ante desastres.</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y garantizar que las responsabilidades del proveedor se pueden cumplir a lo largo de la cadena.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w:t>
            </w:r>
            <w:r>
              <w:rPr>
                <w:rFonts w:ascii="Arial" w:cs="Arial" w:eastAsia="Arial" w:hAnsi="Arial"/>
                <w:sz w:val="19"/>
                <w:szCs w:val="19"/>
                <w:u w:val="single"/>
              </w:rPr>
              <w:t xml:space="preserve">(subcontratistas), su ubicación y los servicios que prestan,</w:t>
            </w:r>
            <w:r>
              <w:rPr>
                <w:rFonts w:ascii="Arial" w:cs="Arial" w:eastAsia="Arial" w:hAnsi="Arial"/>
                <w:sz w:val="19"/>
                <w:szCs w:val="19"/>
              </w:rPr>
              <w:t xml:space="preserve"> y garantizar que las responsabilidades del proveedor se pueden cumplir a lo largo de la cadena.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6.</w:t>
            </w:r>
            <w:r>
              <w:rPr>
                <w:rFonts w:ascii="Arial" w:cs="Arial" w:eastAsia="Arial" w:hAnsi="Arial"/>
                <w:sz w:val="19"/>
                <w:szCs w:val="19"/>
                <w:u w:val="single"/>
              </w:rPr>
              <w:t xml:space="preserve"> Evaluación de riesgo tecnológico y de seguridad de la información (TI): “Autoevaluación de la Seguridad de la Información para Proveedores” e informe del Oficial de Seguridad de la Información (NRP-20 / NRP-23). — Requerimiento: Oficialía de Seguridad de la Información y Gerencia de Sistemas.</w:t>
            </w:r>
          </w:p>
          <w:p>
            <w:pPr>
              <w:spacing w:after="80" w:line="264"/>
              <w:jc w:val="both"/>
            </w:pPr>
            <w:r>
              <w:rPr>
                <w:rFonts w:ascii="Arial" w:cs="Arial" w:eastAsia="Arial" w:hAnsi="Arial"/>
                <w:b/>
                <w:bCs/>
                <w:sz w:val="19"/>
                <w:szCs w:val="19"/>
                <w:u w:val="single"/>
              </w:rPr>
              <w:t xml:space="preserve">7.</w:t>
            </w:r>
            <w:r>
              <w:rPr>
                <w:rFonts w:ascii="Arial" w:cs="Arial" w:eastAsia="Arial" w:hAnsi="Arial"/>
                <w:sz w:val="19"/>
                <w:szCs w:val="19"/>
                <w:u w:val="single"/>
              </w:rPr>
              <w:t xml:space="preserve"> Análisis de concentración de proveedores (proveedor, grupo económico, subcontratistas, proveedor de nube y ubicación geográfica) y verificación de límites aprobados (NRP-20 / NRP-17). — Requerimiento: Depto. de Administración de Riesgos.</w:t>
            </w:r>
          </w:p>
          <w:p>
            <w:pPr>
              <w:spacing w:after="80" w:line="264"/>
              <w:jc w:val="both"/>
            </w:pPr>
            <w:r>
              <w:rPr>
                <w:rFonts w:ascii="Arial" w:cs="Arial" w:eastAsia="Arial" w:hAnsi="Arial"/>
                <w:b/>
                <w:bCs/>
                <w:sz w:val="19"/>
                <w:szCs w:val="19"/>
                <w:u w:val="single"/>
              </w:rPr>
              <w:t xml:space="preserve">8.</w:t>
            </w:r>
            <w:r>
              <w:rPr>
                <w:rFonts w:ascii="Arial" w:cs="Arial" w:eastAsia="Arial" w:hAnsi="Arial"/>
                <w:sz w:val="19"/>
                <w:szCs w:val="19"/>
                <w:u w:val="single"/>
              </w:rPr>
              <w:t xml:space="preserve"> Evaluación de impacto en liquidez: compromisos de pago, anticipos, garantías, costos de salida y dependencia de canales de pago (NRP-15). — Requerimiento: Gerencia de Finanzas.</w:t>
            </w:r>
          </w:p>
          <w:p>
            <w:pPr>
              <w:spacing w:after="80" w:line="264"/>
              <w:jc w:val="both"/>
            </w:pPr>
            <w:r>
              <w:rPr>
                <w:rFonts w:ascii="Arial" w:cs="Arial" w:eastAsia="Arial" w:hAnsi="Arial"/>
                <w:b/>
                <w:bCs/>
                <w:sz w:val="19"/>
                <w:szCs w:val="19"/>
                <w:u w:val="single"/>
              </w:rPr>
              <w:t xml:space="preserve">9.</w:t>
            </w:r>
            <w:r>
              <w:rPr>
                <w:rFonts w:ascii="Arial" w:cs="Arial" w:eastAsia="Arial" w:hAnsi="Arial"/>
                <w:sz w:val="19"/>
                <w:szCs w:val="19"/>
                <w:u w:val="single"/>
              </w:rPr>
              <w:t xml:space="preserve"> Plan de continuidad del negocio del proveedor, RTO/RPO comprometidos, resultados de la última prueba y verificación de consistencia con el BIA (NRP-24). — Requerimiento: Responsable de Continuidad del Negocio.</w:t>
            </w:r>
          </w:p>
          <w:p>
            <w:pPr>
              <w:spacing w:after="80" w:line="264"/>
              <w:jc w:val="both"/>
            </w:pPr>
            <w:r>
              <w:rPr>
                <w:rFonts w:ascii="Arial" w:cs="Arial" w:eastAsia="Arial" w:hAnsi="Arial"/>
                <w:b/>
                <w:bCs/>
                <w:sz w:val="19"/>
                <w:szCs w:val="19"/>
                <w:u w:val="single"/>
              </w:rPr>
              <w:t xml:space="preserve">10.</w:t>
            </w:r>
            <w:r>
              <w:rPr>
                <w:rFonts w:ascii="Arial" w:cs="Arial" w:eastAsia="Arial" w:hAnsi="Arial"/>
                <w:sz w:val="19"/>
                <w:szCs w:val="19"/>
                <w:u w:val="single"/>
              </w:rPr>
              <w:t xml:space="preserve"> Plan de Salida preliminar del servicio, con proveedores alternos identificados (NRP-24). — Requerimiento: Administrador de Contrato, con apoyo de Gerencia de Sistemas y Gerencia Administrativa.</w:t>
            </w:r>
          </w:p>
          <w:p>
            <w:pPr>
              <w:spacing w:after="80" w:line="264"/>
              <w:jc w:val="both"/>
            </w:pPr>
            <w:r>
              <w:rPr>
                <w:rFonts w:ascii="Arial" w:cs="Arial" w:eastAsia="Arial" w:hAnsi="Arial"/>
                <w:b/>
                <w:bCs/>
                <w:sz w:val="19"/>
                <w:szCs w:val="19"/>
                <w:u w:val="single"/>
              </w:rPr>
              <w:t xml:space="preserve">11.</w:t>
            </w:r>
            <w:r>
              <w:rPr>
                <w:rFonts w:ascii="Arial" w:cs="Arial" w:eastAsia="Arial" w:hAnsi="Arial"/>
                <w:sz w:val="19"/>
                <w:szCs w:val="19"/>
                <w:u w:val="single"/>
              </w:rPr>
              <w:t xml:space="preserve"> Certificaciones o informes de auditoría independiente vigentes (p. ej. ISO/IEC 27001, ISO 22301, SOC 1/SOC 2),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12.</w:t>
            </w:r>
            <w:r>
              <w:rPr>
                <w:rFonts w:ascii="Arial" w:cs="Arial" w:eastAsia="Arial" w:hAnsi="Arial"/>
                <w:sz w:val="19"/>
                <w:szCs w:val="19"/>
                <w:u w:val="single"/>
              </w:rPr>
              <w:t xml:space="preserve"> Pólizas de seguro del proveedor (responsabilidad civil, riesgos cibernéticos, fidelidad),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13.</w:t>
            </w:r>
            <w:r>
              <w:rPr>
                <w:rFonts w:ascii="Arial" w:cs="Arial" w:eastAsia="Arial" w:hAnsi="Arial"/>
                <w:sz w:val="19"/>
                <w:szCs w:val="19"/>
                <w:u w:val="single"/>
              </w:rPr>
              <w:t xml:space="preserve"> Para servicios en la nube (TI): modelo de servicio, matriz de responsabilidad compartida, ubicación de datos y respaldos, cifrado y gestión de llaves. — Requerimiento: Oficialía de Seguridad de la Información y Gerencia de Sistemas.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B: “CLÁUSULAS A CONSIDERAR PARA 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es la que tiene la propiedad exclusiva sobre todos sus datos o información relacionada con la actividad o proceso a tercerizar;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a tercerizar</w:t>
            </w:r>
            <w:r>
              <w:rPr>
                <w:rFonts w:ascii="Arial" w:cs="Arial" w:eastAsia="Arial" w:hAnsi="Arial"/>
                <w:sz w:val="19"/>
                <w:szCs w:val="19"/>
                <w:u w:val="single"/>
              </w:rPr>
              <w:t xml:space="preserve">, incluidos los datos generados o derivados durante la prestación del servicio</w:t>
            </w:r>
            <w:r>
              <w:rPr>
                <w:rFonts w:ascii="Arial" w:cs="Arial" w:eastAsia="Arial" w:hAnsi="Arial"/>
                <w:sz w:val="19"/>
                <w:szCs w:val="19"/>
              </w:rPr>
              <w:t xml:space="preserve">;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mismos</w:t>
            </w:r>
            <w:r>
              <w:rPr>
                <w:rFonts w:ascii="Arial" w:cs="Arial" w:eastAsia="Arial" w:hAnsi="Arial"/>
                <w:sz w:val="19"/>
                <w:szCs w:val="19"/>
                <w:u w:val="single"/>
              </w:rPr>
              <w:t xml:space="preserve">, ni retenerlos como garantía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de tecnología de información que planean tercerizar y el tipo de información a ser procesada.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w:t>
            </w:r>
            <w:r>
              <w:rPr>
                <w:rFonts w:ascii="Arial" w:cs="Arial" w:eastAsia="Arial" w:hAnsi="Arial"/>
                <w:sz w:val="19"/>
                <w:szCs w:val="19"/>
                <w:u w:val="single"/>
              </w:rPr>
              <w:t xml:space="preserve">, incluidos los</w:t>
            </w:r>
            <w:r>
              <w:rPr>
                <w:rFonts w:ascii="Arial" w:cs="Arial" w:eastAsia="Arial" w:hAnsi="Arial"/>
                <w:sz w:val="19"/>
                <w:szCs w:val="19"/>
              </w:rPr>
              <w:t xml:space="preserve"> de tecnología de información</w:t>
            </w:r>
            <w:r>
              <w:rPr>
                <w:rFonts w:ascii="Arial" w:cs="Arial" w:eastAsia="Arial" w:hAnsi="Arial"/>
                <w:sz w:val="19"/>
                <w:szCs w:val="19"/>
                <w:u w:val="single"/>
              </w:rPr>
              <w:t xml:space="preserve">,</w:t>
            </w:r>
            <w:r>
              <w:rPr>
                <w:rFonts w:ascii="Arial" w:cs="Arial" w:eastAsia="Arial" w:hAnsi="Arial"/>
                <w:sz w:val="19"/>
                <w:szCs w:val="19"/>
              </w:rPr>
              <w:t xml:space="preserve"> que planean tercerizar y el tipo de información a ser procesada</w:t>
            </w:r>
            <w:r>
              <w:rPr>
                <w:rFonts w:ascii="Arial" w:cs="Arial" w:eastAsia="Arial" w:hAnsi="Arial"/>
                <w:sz w:val="19"/>
                <w:szCs w:val="19"/>
                <w:u w:val="single"/>
              </w:rPr>
              <w:t xml:space="preserve">, con su clasificación de confidencialidad.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que planean estar a cargo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w:t>
            </w:r>
            <w:r>
              <w:rPr>
                <w:rFonts w:ascii="Arial" w:cs="Arial" w:eastAsia="Arial" w:hAnsi="Arial"/>
                <w:sz w:val="19"/>
                <w:szCs w:val="19"/>
                <w:u w:val="single"/>
              </w:rPr>
              <w:t xml:space="preserve">e infraestructura</w:t>
            </w:r>
            <w:r>
              <w:rPr>
                <w:rFonts w:ascii="Arial" w:cs="Arial" w:eastAsia="Arial" w:hAnsi="Arial"/>
                <w:sz w:val="19"/>
                <w:szCs w:val="19"/>
              </w:rPr>
              <w:t xml:space="preserve"> que planean estar a cargo del proveedor</w:t>
            </w:r>
            <w:r>
              <w:rPr>
                <w:rFonts w:ascii="Arial" w:cs="Arial" w:eastAsia="Arial" w:hAnsi="Arial"/>
                <w:sz w:val="19"/>
                <w:szCs w:val="19"/>
                <w:u w:val="single"/>
              </w:rPr>
              <w:t xml:space="preserve"> (TI).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 (s) proveedor (es) de servicios, sobre cada servicio que se proporcione.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su(s) proveedor(es) de servicios sobre cada servicio que se proporcione</w:t>
            </w:r>
            <w:r>
              <w:rPr>
                <w:rFonts w:ascii="Arial" w:cs="Arial" w:eastAsia="Arial" w:hAnsi="Arial"/>
                <w:sz w:val="19"/>
                <w:szCs w:val="19"/>
                <w:u w:val="single"/>
              </w:rPr>
              <w:t xml:space="preserve">, incluyendo, en servicios en la nube, la matriz de responsabilidad compartida.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servicios en condiciones normales y de contingencia tras una interrupción, para esto último se deberá garantizar el establecimiento de planes de contingencia y de continuidad del servicio, de tal forma que el proveedor, y subcontratistas si hubieren, garanticen el cumplimiento de la actividad u operación tercerizada y que el riesgo de tercerización está dentro del nivel determinado como aceptable para la entidad contratante.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 en condiciones normales y de contingencia tras una interrupción</w:t>
            </w:r>
            <w:r>
              <w:rPr>
                <w:rFonts w:ascii="Arial" w:cs="Arial" w:eastAsia="Arial" w:hAnsi="Arial"/>
                <w:sz w:val="19"/>
                <w:szCs w:val="19"/>
                <w:u w:val="single"/>
              </w:rPr>
              <w:t xml:space="preserve">, con indicadores medibles, RTO y RPO consistentes con el BIA de la Cooperativa (NRP-24)</w:t>
            </w:r>
            <w:r>
              <w:rPr>
                <w:rFonts w:ascii="Arial" w:cs="Arial" w:eastAsia="Arial" w:hAnsi="Arial"/>
                <w:sz w:val="19"/>
                <w:szCs w:val="19"/>
              </w:rPr>
              <w:t xml:space="preserve">; para esto último se deberá garantizar el establecimiento de planes de contingencia y de continuidad del servicio, de tal forma que el proveedor, y subcontratistas si los hubiere, garanticen el cumplimiento de la actividad u operación tercerizada y que el riesgo de tercerización está dentro del nivel determinado como aceptable para la entidad contratante</w:t>
            </w:r>
            <w:r>
              <w:rPr>
                <w:rFonts w:ascii="Arial" w:cs="Arial" w:eastAsia="Arial" w:hAnsi="Arial"/>
                <w:sz w:val="19"/>
                <w:szCs w:val="19"/>
                <w:u w:val="single"/>
              </w:rPr>
              <w:t xml:space="preserve">, según el apetito y tolerancia al riesgo aprobados (NRP-20).</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 </w:t>
            </w:r>
            <w:r>
              <w:rPr>
                <w:rFonts w:ascii="Arial" w:cs="Arial" w:eastAsia="Arial" w:hAnsi="Arial"/>
                <w:sz w:val="19"/>
                <w:szCs w:val="19"/>
                <w:u w:val="single"/>
              </w:rPr>
              <w:t xml:space="preserve">de R.L., con designación de contactos, matriz de escalamiento y comunicación en situaciones de crisis o activación de planes de continuidad.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r>
              <w:rPr>
                <w:rFonts w:ascii="Arial" w:cs="Arial" w:eastAsia="Arial" w:hAnsi="Arial"/>
                <w:sz w:val="19"/>
                <w:szCs w:val="19"/>
                <w:u w:val="single"/>
              </w:rPr>
              <w:t xml:space="preserve">.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debe requerir al proveedor de servicios prestados una declaración jurada o certificación vigente, que indique que cuentan con un programa o gestión de la seguridad de la información, planes de continuidad del negocio, pruebas desarrolladas y resultados de las pruebas, así mismo, verificar la capacidad para recuperar y reanudar el servicio ante interrupciones.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w:t>
            </w:r>
            <w:r>
              <w:rPr>
                <w:rFonts w:ascii="Arial" w:cs="Arial" w:eastAsia="Arial" w:hAnsi="Arial"/>
                <w:sz w:val="19"/>
                <w:szCs w:val="19"/>
                <w:u w:val="single"/>
              </w:rPr>
              <w:t xml:space="preserve">de R.L.</w:t>
            </w:r>
            <w:r>
              <w:rPr>
                <w:rFonts w:ascii="Arial" w:cs="Arial" w:eastAsia="Arial" w:hAnsi="Arial"/>
                <w:sz w:val="19"/>
                <w:szCs w:val="19"/>
              </w:rPr>
              <w:t xml:space="preserve">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w:t>
            </w:r>
            <w:r>
              <w:rPr>
                <w:rFonts w:ascii="Arial" w:cs="Arial" w:eastAsia="Arial" w:hAnsi="Arial"/>
                <w:sz w:val="19"/>
                <w:szCs w:val="19"/>
                <w:u w:val="single"/>
              </w:rPr>
              <w:t xml:space="preserve">, mediante la obligación del proveedor de participar en pruebas conjuntas de continuidad al menos una vez al año y de entregar anualmente los resultados de sus pruebas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trike/>
                <w:sz w:val="19"/>
                <w:szCs w:val="19"/>
              </w:rPr>
              <w:t xml:space="preserve">en cuanto le sea posible</w:t>
            </w:r>
            <w:r>
              <w:rPr>
                <w:rFonts w:ascii="Arial" w:cs="Arial" w:eastAsia="Arial" w:hAnsi="Arial"/>
                <w:sz w:val="19"/>
                <w:szCs w:val="19"/>
              </w:rPr>
              <w:t xml:space="preserve">, a COMEDICA sobre cualquier evento o situación que pudiera afectar significativamente la prestación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z w:val="19"/>
                <w:szCs w:val="19"/>
                <w:u w:val="single"/>
              </w:rPr>
              <w:t xml:space="preserve">de forma inmediata</w:t>
            </w:r>
            <w:r>
              <w:rPr>
                <w:rFonts w:ascii="Arial" w:cs="Arial" w:eastAsia="Arial" w:hAnsi="Arial"/>
                <w:sz w:val="19"/>
                <w:szCs w:val="19"/>
              </w:rPr>
              <w:t xml:space="preserve">, a COMEDICA </w:t>
            </w:r>
            <w:r>
              <w:rPr>
                <w:rFonts w:ascii="Arial" w:cs="Arial" w:eastAsia="Arial" w:hAnsi="Arial"/>
                <w:sz w:val="19"/>
                <w:szCs w:val="19"/>
                <w:u w:val="single"/>
              </w:rPr>
              <w:t xml:space="preserve">de R.L.</w:t>
            </w:r>
            <w:r>
              <w:rPr>
                <w:rFonts w:ascii="Arial" w:cs="Arial" w:eastAsia="Arial" w:hAnsi="Arial"/>
                <w:sz w:val="19"/>
                <w:szCs w:val="19"/>
              </w:rPr>
              <w:t xml:space="preserve"> sobre cualquier evento o situación que pudiera afectar significativamente la prestación del servicio</w:t>
            </w:r>
            <w:r>
              <w:rPr>
                <w:rFonts w:ascii="Arial" w:cs="Arial" w:eastAsia="Arial" w:hAnsi="Arial"/>
                <w:sz w:val="19"/>
                <w:szCs w:val="19"/>
                <w:u w:val="single"/>
              </w:rPr>
              <w:t xml:space="preserve">, incluyendo: deterioro de su situación financiera, procesos de insolvencia, cambio de control o de accionistas relevantes, cambios en subcontratistas, sanciones regulatorias y litigios relevantes (riesgo de contraparte – NRP-20 / NRP-17).</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r>
              <w:rPr>
                <w:rFonts w:ascii="Arial" w:cs="Arial" w:eastAsia="Arial" w:hAnsi="Arial"/>
                <w:sz w:val="19"/>
                <w:szCs w:val="19"/>
                <w:u w:val="single"/>
              </w:rPr>
              <w:t xml:space="preserve">, en plazos definidos según su severidad, y que permitirá o realizará pruebas periódicas de vulnerabilidad y penetración, compartiendo sus resultados con la Cooperativa (NRP-20 / NRP-23).</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en la revisión y monitoreo de los servicios prestados, así como el procedimiento de escalamiento.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w:t>
            </w:r>
            <w:r>
              <w:rPr>
                <w:rFonts w:ascii="Arial" w:cs="Arial" w:eastAsia="Arial" w:hAnsi="Arial"/>
                <w:sz w:val="19"/>
                <w:szCs w:val="19"/>
                <w:u w:val="single"/>
              </w:rPr>
              <w:t xml:space="preserve">de R.L.</w:t>
            </w:r>
            <w:r>
              <w:rPr>
                <w:rFonts w:ascii="Arial" w:cs="Arial" w:eastAsia="Arial" w:hAnsi="Arial"/>
                <w:sz w:val="19"/>
                <w:szCs w:val="19"/>
              </w:rPr>
              <w:t xml:space="preserve"> en la revisión y monitoreo de los servicios prestados, así como el procedimiento de escalamiento</w:t>
            </w:r>
            <w:r>
              <w:rPr>
                <w:rFonts w:ascii="Arial" w:cs="Arial" w:eastAsia="Arial" w:hAnsi="Arial"/>
                <w:sz w:val="19"/>
                <w:szCs w:val="19"/>
                <w:u w:val="single"/>
              </w:rPr>
              <w:t xml:space="preserve">, incluyendo la entrega de reportes periódicos (al menos mensuales) de cumplimiento de ANS, incidentes y cambios relevantes.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w:t>
            </w:r>
            <w:r>
              <w:rPr>
                <w:rFonts w:ascii="Arial" w:cs="Arial" w:eastAsia="Arial" w:hAnsi="Arial"/>
                <w:strike/>
                <w:sz w:val="19"/>
                <w:szCs w:val="19"/>
              </w:rPr>
              <w:t xml:space="preserve">de ser el caso,</w:t>
            </w:r>
            <w:r>
              <w:rPr>
                <w:rFonts w:ascii="Arial" w:cs="Arial" w:eastAsia="Arial" w:hAnsi="Arial"/>
                <w:sz w:val="19"/>
                <w:szCs w:val="19"/>
              </w:rPr>
              <w:t xml:space="preserve"> por el personal subcontratado por el proveedor relacionados con el manejo de la información de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por el personal </w:t>
            </w:r>
            <w:r>
              <w:rPr>
                <w:rFonts w:ascii="Arial" w:cs="Arial" w:eastAsia="Arial" w:hAnsi="Arial"/>
                <w:sz w:val="19"/>
                <w:szCs w:val="19"/>
                <w:u w:val="single"/>
              </w:rPr>
              <w:t xml:space="preserve">propio y</w:t>
            </w:r>
            <w:r>
              <w:rPr>
                <w:rFonts w:ascii="Arial" w:cs="Arial" w:eastAsia="Arial" w:hAnsi="Arial"/>
                <w:sz w:val="19"/>
                <w:szCs w:val="19"/>
              </w:rPr>
              <w:t xml:space="preserve"> subcontratado por el proveedor relacionados con el manejo de la información de COMEDICA </w:t>
            </w:r>
            <w:r>
              <w:rPr>
                <w:rFonts w:ascii="Arial" w:cs="Arial" w:eastAsia="Arial" w:hAnsi="Arial"/>
                <w:sz w:val="19"/>
                <w:szCs w:val="19"/>
                <w:u w:val="single"/>
              </w:rPr>
              <w:t xml:space="preserve">de R.L.</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r>
              <w:rPr>
                <w:rFonts w:ascii="Arial" w:cs="Arial" w:eastAsia="Arial" w:hAnsi="Arial"/>
                <w:sz w:val="19"/>
                <w:szCs w:val="19"/>
                <w:u w:val="single"/>
              </w:rPr>
              <w:t xml:space="preserve">, y, cuando aplique, acuerdos de depósito de código fuente (escrow) que garanticen la continuidad del servicio en caso de cese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r>
              <w:rPr>
                <w:rFonts w:ascii="Arial" w:cs="Arial" w:eastAsia="Arial" w:hAnsi="Arial"/>
                <w:sz w:val="19"/>
                <w:szCs w:val="19"/>
                <w:u w:val="single"/>
              </w:rPr>
              <w:t xml:space="preserve">, incluyendo la devolución de la información y su destrucción segura certificada.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r>
              <w:rPr>
                <w:rFonts w:ascii="Arial" w:cs="Arial" w:eastAsia="Arial" w:hAnsi="Arial"/>
                <w:sz w:val="19"/>
                <w:szCs w:val="19"/>
                <w:u w:val="single"/>
              </w:rPr>
              <w:t xml:space="preserve">, y el cifrado de la información en reposo.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para mitigar los impactos ocasionados por posibles deficiencias en la prestación del servicio por parte del proveedor, de acuerdo a lo establecido en relación al nivel de servicio acordado.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w:t>
            </w:r>
            <w:r>
              <w:rPr>
                <w:rFonts w:ascii="Arial" w:cs="Arial" w:eastAsia="Arial" w:hAnsi="Arial"/>
                <w:sz w:val="19"/>
                <w:szCs w:val="19"/>
                <w:u w:val="single"/>
              </w:rPr>
              <w:t xml:space="preserve">y penalizaciones</w:t>
            </w:r>
            <w:r>
              <w:rPr>
                <w:rFonts w:ascii="Arial" w:cs="Arial" w:eastAsia="Arial" w:hAnsi="Arial"/>
                <w:sz w:val="19"/>
                <w:szCs w:val="19"/>
              </w:rPr>
              <w:t xml:space="preserve"> para mitigar los impactos ocasionados por posibles deficiencias en la prestación del servicio por parte del proveedor, de acuerdo a lo establecido en relación al nivel de servicio acordado</w:t>
            </w:r>
            <w:r>
              <w:rPr>
                <w:rFonts w:ascii="Arial" w:cs="Arial" w:eastAsia="Arial" w:hAnsi="Arial"/>
                <w:sz w:val="19"/>
                <w:szCs w:val="19"/>
                <w:u w:val="single"/>
              </w:rPr>
              <w:t xml:space="preserve">, así como garantías de cumplimiento (fianzas) y, cuando existan anticipos, garantías de buena inversión de anticipo que cubran el riesgo de contraparte.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deberá considerar los riesgos operacionales (incluyendo los tecnológicos y legales), riesgos reputacionales y riesgos financieros.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w:t>
            </w:r>
            <w:r>
              <w:rPr>
                <w:rFonts w:ascii="Arial" w:cs="Arial" w:eastAsia="Arial" w:hAnsi="Arial"/>
                <w:sz w:val="19"/>
                <w:szCs w:val="19"/>
                <w:u w:val="single"/>
              </w:rPr>
              <w:t xml:space="preserve">de R.L.</w:t>
            </w:r>
            <w:r>
              <w:rPr>
                <w:rFonts w:ascii="Arial" w:cs="Arial" w:eastAsia="Arial" w:hAnsi="Arial"/>
                <w:sz w:val="19"/>
                <w:szCs w:val="19"/>
              </w:rPr>
              <w:t xml:space="preserve"> deberá considerar los riesgos operacionales (incluyendo los tecnológicos y legales), riesgos reputacionales y riesgos financieros</w:t>
            </w:r>
            <w:r>
              <w:rPr>
                <w:rFonts w:ascii="Arial" w:cs="Arial" w:eastAsia="Arial" w:hAnsi="Arial"/>
                <w:sz w:val="19"/>
                <w:szCs w:val="19"/>
                <w:u w:val="single"/>
              </w:rPr>
              <w:t xml:space="preserve">;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subcontratado.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w:t>
            </w:r>
            <w:r>
              <w:rPr>
                <w:rFonts w:ascii="Arial" w:cs="Arial" w:eastAsia="Arial" w:hAnsi="Arial"/>
                <w:sz w:val="19"/>
                <w:szCs w:val="19"/>
                <w:u w:val="single"/>
              </w:rPr>
              <w:t xml:space="preserve">(lógica o físicamente)</w:t>
            </w:r>
            <w:r>
              <w:rPr>
                <w:rFonts w:ascii="Arial" w:cs="Arial" w:eastAsia="Arial" w:hAnsi="Arial"/>
                <w:sz w:val="19"/>
                <w:szCs w:val="19"/>
              </w:rPr>
              <w:t xml:space="preserve"> en todo momento, de tal forma que no exista comunicación o conectividad con la información de otros clientes del proveedor </w:t>
            </w:r>
            <w:r>
              <w:rPr>
                <w:rFonts w:ascii="Arial" w:cs="Arial" w:eastAsia="Arial" w:hAnsi="Arial"/>
                <w:sz w:val="19"/>
                <w:szCs w:val="19"/>
                <w:u w:val="single"/>
              </w:rPr>
              <w:t xml:space="preserve">o del</w:t>
            </w:r>
            <w:r>
              <w:rPr>
                <w:rFonts w:ascii="Arial" w:cs="Arial" w:eastAsia="Arial" w:hAnsi="Arial"/>
                <w:sz w:val="19"/>
                <w:szCs w:val="19"/>
              </w:rPr>
              <w:t xml:space="preserve"> subcontratado.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debe asegurarse que puede dar por finalizado el servicio contratado sin interrupción indebida a su servicios u operaciones, o su cumplimiento con el marco regulatorio por lo que deberán contar con planes de salida y arreglos de terminación, todo debidamente documentado y probado.</w:t>
            </w:r>
          </w:p>
          <w:p>
            <w:pPr>
              <w:spacing w:after="80" w:line="264"/>
              <w:jc w:val="both"/>
            </w:pPr>
            <w:r>
              <w:rPr>
                <w:rFonts w:ascii="Arial" w:cs="Arial" w:eastAsia="Arial" w:hAnsi="Arial"/>
                <w:sz w:val="19"/>
                <w:szCs w:val="19"/>
              </w:rPr>
              <w:t xml:space="preserve">Establecer que la Superintendencia, cuando ésta lo estime pertinente, el acceso y disposición de los datos o información relacionada con el servicio tercerizado sin restricciones; manteniendo en el territorio nacional los mecanismos apropiados y el personal idóneo y necesario para tales efectos, así mismo, garantizar las condiciones del acceso para la auditoría interna y las firmas de auditoría externa que deben efectuar sus evaluaciones en cumplimiento al marco regulatorio vigente.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w:t>
            </w:r>
            <w:r>
              <w:rPr>
                <w:rFonts w:ascii="Arial" w:cs="Arial" w:eastAsia="Arial" w:hAnsi="Arial"/>
                <w:sz w:val="19"/>
                <w:szCs w:val="19"/>
                <w:u w:val="single"/>
              </w:rPr>
              <w:t xml:space="preserve">de R.L.</w:t>
            </w:r>
            <w:r>
              <w:rPr>
                <w:rFonts w:ascii="Arial" w:cs="Arial" w:eastAsia="Arial" w:hAnsi="Arial"/>
                <w:sz w:val="19"/>
                <w:szCs w:val="19"/>
              </w:rPr>
              <w:t xml:space="preserve"> debe asegurarse </w:t>
            </w:r>
            <w:r>
              <w:rPr>
                <w:rFonts w:ascii="Arial" w:cs="Arial" w:eastAsia="Arial" w:hAnsi="Arial"/>
                <w:sz w:val="19"/>
                <w:szCs w:val="19"/>
                <w:u w:val="single"/>
              </w:rPr>
              <w:t xml:space="preserve">de</w:t>
            </w:r>
            <w:r>
              <w:rPr>
                <w:rFonts w:ascii="Arial" w:cs="Arial" w:eastAsia="Arial" w:hAnsi="Arial"/>
                <w:sz w:val="19"/>
                <w:szCs w:val="19"/>
              </w:rPr>
              <w:t xml:space="preserve"> que puede dar por finalizado el servicio contratado sin interrupción indebida a sus servicios u operaciones, o a su cumplimiento con el marco regulatorio, por lo que deberá contar con planes de salida y arreglos de terminación, todo debidamente documentado y probado</w:t>
            </w:r>
            <w:r>
              <w:rPr>
                <w:rFonts w:ascii="Arial" w:cs="Arial" w:eastAsia="Arial" w:hAnsi="Arial"/>
                <w:sz w:val="19"/>
                <w:szCs w:val="19"/>
                <w:u w:val="single"/>
              </w:rPr>
              <w:t xml:space="preserve">.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p>
            <w:pPr>
              <w:spacing w:after="80" w:line="264"/>
              <w:jc w:val="both"/>
            </w:pPr>
            <w:r>
              <w:rPr>
                <w:rFonts w:ascii="Arial" w:cs="Arial" w:eastAsia="Arial" w:hAnsi="Arial"/>
                <w:b/>
                <w:bCs/>
                <w:sz w:val="19"/>
                <w:szCs w:val="19"/>
                <w:u w:val="single"/>
              </w:rPr>
              <w:t xml:space="preserve">20-A.</w:t>
            </w:r>
            <w:r>
              <w:rPr>
                <w:rFonts w:ascii="Arial" w:cs="Arial" w:eastAsia="Arial" w:hAnsi="Arial"/>
                <w:sz w:val="19"/>
                <w:szCs w:val="19"/>
              </w:rPr>
              <w:t xml:space="preserve"> Establecer que la Superintendencia, cuando ésta lo estime pertinente, </w:t>
            </w:r>
            <w:r>
              <w:rPr>
                <w:rFonts w:ascii="Arial" w:cs="Arial" w:eastAsia="Arial" w:hAnsi="Arial"/>
                <w:sz w:val="19"/>
                <w:szCs w:val="19"/>
                <w:u w:val="single"/>
              </w:rPr>
              <w:t xml:space="preserve">tendrá</w:t>
            </w:r>
            <w:r>
              <w:rPr>
                <w:rFonts w:ascii="Arial" w:cs="Arial" w:eastAsia="Arial" w:hAnsi="Arial"/>
                <w:sz w:val="19"/>
                <w:szCs w:val="19"/>
              </w:rPr>
              <w:t xml:space="preserve">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w:t>
            </w:r>
            <w:r>
              <w:rPr>
                <w:rFonts w:ascii="Arial" w:cs="Arial" w:eastAsia="Arial" w:hAnsi="Arial"/>
                <w:sz w:val="19"/>
                <w:szCs w:val="19"/>
                <w:u w:val="single"/>
              </w:rPr>
              <w:t xml:space="preserve">, el Departamento de Administración de Riesgos</w:t>
            </w:r>
            <w:r>
              <w:rPr>
                <w:rFonts w:ascii="Arial" w:cs="Arial" w:eastAsia="Arial" w:hAnsi="Arial"/>
                <w:sz w:val="19"/>
                <w:szCs w:val="19"/>
              </w:rPr>
              <w:t xml:space="preserve"> y las firmas de auditoría externa que deben efectuar sus evaluaciones en cumplimiento al marco regulatorio vigente</w:t>
            </w:r>
            <w:r>
              <w:rPr>
                <w:rFonts w:ascii="Arial" w:cs="Arial" w:eastAsia="Arial" w:hAnsi="Arial"/>
                <w:sz w:val="19"/>
                <w:szCs w:val="19"/>
                <w:u w:val="single"/>
              </w:rPr>
              <w:t xml:space="preserve">, incluyendo el derecho de auditoría in situ sobre el proveedor y sus subcontratistas críticos.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trike/>
                <w:sz w:val="19"/>
                <w:szCs w:val="19"/>
              </w:rPr>
              <w:t xml:space="preserve">para garantizar</w:t>
            </w:r>
            <w:r>
              <w:rPr>
                <w:rFonts w:ascii="Arial" w:cs="Arial" w:eastAsia="Arial" w:hAnsi="Arial"/>
                <w:sz w:val="19"/>
                <w:szCs w:val="19"/>
              </w:rPr>
              <w:t xml:space="preserve"> que la Superintendencia tenga acceso a los datos o información </w:t>
            </w:r>
            <w:r>
              <w:rPr>
                <w:rFonts w:ascii="Arial" w:cs="Arial" w:eastAsia="Arial" w:hAnsi="Arial"/>
                <w:strike/>
                <w:sz w:val="19"/>
                <w:szCs w:val="19"/>
              </w:rPr>
              <w:t xml:space="preserve">en caso de materializarse dichos casos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z w:val="19"/>
                <w:szCs w:val="19"/>
                <w:u w:val="single"/>
              </w:rPr>
              <w:t xml:space="preserve">de la Cooperativa, el contrato deberá garantizar</w:t>
            </w:r>
            <w:r>
              <w:rPr>
                <w:rFonts w:ascii="Arial" w:cs="Arial" w:eastAsia="Arial" w:hAnsi="Arial"/>
                <w:sz w:val="19"/>
                <w:szCs w:val="19"/>
              </w:rPr>
              <w:t xml:space="preserve"> que la Superintendencia </w:t>
            </w:r>
            <w:r>
              <w:rPr>
                <w:rFonts w:ascii="Arial" w:cs="Arial" w:eastAsia="Arial" w:hAnsi="Arial"/>
                <w:sz w:val="19"/>
                <w:szCs w:val="19"/>
                <w:u w:val="single"/>
              </w:rPr>
              <w:t xml:space="preserve">y la autoridad que se designe</w:t>
            </w:r>
            <w:r>
              <w:rPr>
                <w:rFonts w:ascii="Arial" w:cs="Arial" w:eastAsia="Arial" w:hAnsi="Arial"/>
                <w:sz w:val="19"/>
                <w:szCs w:val="19"/>
              </w:rPr>
              <w:t xml:space="preserve"> tenga</w:t>
            </w:r>
            <w:r>
              <w:rPr>
                <w:rFonts w:ascii="Arial" w:cs="Arial" w:eastAsia="Arial" w:hAnsi="Arial"/>
                <w:sz w:val="19"/>
                <w:szCs w:val="19"/>
                <w:u w:val="single"/>
              </w:rPr>
              <w:t xml:space="preserve">n</w:t>
            </w:r>
            <w:r>
              <w:rPr>
                <w:rFonts w:ascii="Arial" w:cs="Arial" w:eastAsia="Arial" w:hAnsi="Arial"/>
                <w:sz w:val="19"/>
                <w:szCs w:val="19"/>
              </w:rPr>
              <w:t xml:space="preserve"> acceso a los datos o información </w:t>
            </w:r>
            <w:r>
              <w:rPr>
                <w:rFonts w:ascii="Arial" w:cs="Arial" w:eastAsia="Arial" w:hAnsi="Arial"/>
                <w:sz w:val="19"/>
                <w:szCs w:val="19"/>
                <w:u w:val="single"/>
              </w:rPr>
              <w:t xml:space="preserve">y la continuidad del servicio, sin que el proveedor pueda suspenderlo o terminarlo por dicha causa durante el periodo que establezca la normativa aplicable.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22. Condiciones de pago e impacto en liquidez (NRP-15):</w:t>
            </w:r>
            <w:r>
              <w:rPr>
                <w:rFonts w:ascii="Arial" w:cs="Arial" w:eastAsia="Arial" w:hAnsi="Arial"/>
                <w:sz w:val="19"/>
                <w:szCs w:val="19"/>
                <w:u w:val="single"/>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p>
            <w:pPr>
              <w:spacing w:after="80" w:line="264"/>
              <w:jc w:val="both"/>
            </w:pPr>
            <w:r>
              <w:rPr>
                <w:rFonts w:ascii="Arial" w:cs="Arial" w:eastAsia="Arial" w:hAnsi="Arial"/>
                <w:b/>
                <w:bCs/>
                <w:sz w:val="19"/>
                <w:szCs w:val="19"/>
                <w:u w:val="single"/>
              </w:rPr>
              <w:t xml:space="preserve">23. Cambio de control y cesión:</w:t>
            </w:r>
            <w:r>
              <w:rPr>
                <w:rFonts w:ascii="Arial" w:cs="Arial" w:eastAsia="Arial" w:hAnsi="Arial"/>
                <w:sz w:val="19"/>
                <w:szCs w:val="19"/>
                <w:u w:val="single"/>
              </w:rPr>
              <w:t xml:space="preserve"> obligación del proveedor de notificar previamente cualquier fusión, adquisición, cambio de control o cesión del contrato, que facultará a la Cooperativa para reevaluar al proveedor y, en su caso, terminar el contrato sin penalidad.</w:t>
            </w:r>
          </w:p>
          <w:p>
            <w:pPr>
              <w:spacing w:after="80" w:line="264"/>
              <w:jc w:val="both"/>
            </w:pPr>
            <w:r>
              <w:rPr>
                <w:rFonts w:ascii="Arial" w:cs="Arial" w:eastAsia="Arial" w:hAnsi="Arial"/>
                <w:b/>
                <w:bCs/>
                <w:sz w:val="19"/>
                <w:szCs w:val="19"/>
                <w:u w:val="single"/>
              </w:rPr>
              <w:t xml:space="preserve">24. Reporte de eventos de riesgo operacional (NRP-42):</w:t>
            </w:r>
            <w:r>
              <w:rPr>
                <w:rFonts w:ascii="Arial" w:cs="Arial" w:eastAsia="Arial" w:hAnsi="Arial"/>
                <w:sz w:val="19"/>
                <w:szCs w:val="19"/>
                <w:u w:val="single"/>
              </w:rPr>
              <w:t xml:space="preserve"> obligación del proveedor de reportar los incidentes, interrupciones y fallas que afecten el servicio, con su causa raíz, impacto y acciones correctivas, para su registro en la base de eventos de la Cooperativa.</w:t>
            </w:r>
          </w:p>
          <w:p>
            <w:pPr>
              <w:spacing w:after="80" w:line="264"/>
              <w:jc w:val="both"/>
            </w:pPr>
            <w:r>
              <w:rPr>
                <w:rFonts w:ascii="Arial" w:cs="Arial" w:eastAsia="Arial" w:hAnsi="Arial"/>
                <w:b/>
                <w:bCs/>
                <w:sz w:val="19"/>
                <w:szCs w:val="19"/>
                <w:u w:val="single"/>
              </w:rPr>
              <w:t xml:space="preserve">25. Gestión de cambios (TI):</w:t>
            </w:r>
            <w:r>
              <w:rPr>
                <w:rFonts w:ascii="Arial" w:cs="Arial" w:eastAsia="Arial" w:hAnsi="Arial"/>
                <w:sz w:val="19"/>
                <w:szCs w:val="19"/>
                <w:u w:val="single"/>
              </w:rPr>
              <w:t xml:space="preserve"> obligación de notificar y coordinar con la Cooperativa los cambios significativos en infraestructura, aplicaciones, ubicación de datos o subcontratistas que puedan afectar el servicio, la seguridad o la continuidad (NRP-20).</w:t>
            </w:r>
          </w:p>
          <w:p>
            <w:pPr>
              <w:spacing w:after="80" w:line="264"/>
              <w:jc w:val="both"/>
            </w:pPr>
            <w:r>
              <w:rPr>
                <w:rFonts w:ascii="Arial" w:cs="Arial" w:eastAsia="Arial" w:hAnsi="Arial"/>
                <w:b/>
                <w:bCs/>
                <w:sz w:val="19"/>
                <w:szCs w:val="19"/>
                <w:u w:val="single"/>
              </w:rPr>
              <w:t xml:space="preserve">26. Seguros:</w:t>
            </w:r>
            <w:r>
              <w:rPr>
                <w:rFonts w:ascii="Arial" w:cs="Arial" w:eastAsia="Arial" w:hAnsi="Arial"/>
                <w:sz w:val="19"/>
                <w:szCs w:val="19"/>
                <w:u w:val="single"/>
              </w:rPr>
              <w:t xml:space="preserve"> obligación del proveedor de mantener vigentes las pólizas de seguro acordadas (responsabilidad civil, riesgos cibernéticos u otras), cuando aplique.</w:t>
            </w:r>
          </w:p>
          <w:p>
            <w:pPr>
              <w:spacing w:after="80" w:line="264"/>
              <w:jc w:val="both"/>
            </w:pPr>
            <w:r>
              <w:rPr>
                <w:rFonts w:ascii="Arial" w:cs="Arial" w:eastAsia="Arial" w:hAnsi="Arial"/>
                <w:b/>
                <w:bCs/>
                <w:sz w:val="19"/>
                <w:szCs w:val="19"/>
                <w:u w:val="single"/>
              </w:rPr>
              <w:t xml:space="preserve">27. Cumplimiento normativo:</w:t>
            </w:r>
            <w:r>
              <w:rPr>
                <w:rFonts w:ascii="Arial" w:cs="Arial" w:eastAsia="Arial" w:hAnsi="Arial"/>
                <w:sz w:val="19"/>
                <w:szCs w:val="19"/>
                <w:u w:val="single"/>
              </w:rPr>
              <w:t xml:space="preserve"> obligación del proveedor de cumplir la normativa aplicable a la Cooperativa en lo que corresponda al servicio, incluyendo las NRP-20, NRP-23, NRP-24 y NRP-42, y de adecuar el contrato ante cambios regulatorios.</w:t>
            </w:r>
          </w:p>
          <w:p>
            <w:pPr>
              <w:spacing w:after="80" w:line="264"/>
              <w:jc w:val="both"/>
            </w:pPr>
            <w:r>
              <w:rPr>
                <w:rFonts w:ascii="Arial" w:cs="Arial" w:eastAsia="Arial" w:hAnsi="Arial"/>
                <w:b/>
                <w:bCs/>
                <w:sz w:val="19"/>
                <w:szCs w:val="19"/>
                <w:u w:val="single"/>
              </w:rPr>
              <w:t xml:space="preserve">28. Ley aplicable y jurisdicción:</w:t>
            </w:r>
            <w:r>
              <w:rPr>
                <w:rFonts w:ascii="Arial" w:cs="Arial" w:eastAsia="Arial" w:hAnsi="Arial"/>
                <w:sz w:val="19"/>
                <w:szCs w:val="19"/>
                <w:u w:val="single"/>
              </w:rPr>
              <w:t xml:space="preserve"> sometimiento a las leyes de la República de El Salvador y mecanismos de solución de controversias que no impidan la continuidad del servicio mientras se resuelven.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DATOS DE APROBACIÓN Y CONTROL DE MODIFICACIONES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trike/>
                <w:sz w:val="19"/>
                <w:szCs w:val="19"/>
              </w:rPr>
              <w:t xml:space="preserve">27/04/2023</w:t>
            </w:r>
            <w:r>
              <w:rPr>
                <w:rFonts w:ascii="Arial" w:cs="Arial" w:eastAsia="Arial" w:hAnsi="Arial"/>
                <w:sz w:val="19"/>
                <w:szCs w:val="19"/>
              </w:rPr>
              <w:t xml:space="preserve">. Aprobado: Consejo de Administración, </w:t>
            </w:r>
            <w:r>
              <w:rPr>
                <w:rFonts w:ascii="Arial" w:cs="Arial" w:eastAsia="Arial" w:hAnsi="Arial"/>
                <w:strike/>
                <w:sz w:val="19"/>
                <w:szCs w:val="19"/>
              </w:rPr>
              <w:t xml:space="preserve">21/08/2023, Acta 2470</w:t>
            </w:r>
            <w:r>
              <w:rPr>
                <w:rFonts w:ascii="Arial" w:cs="Arial" w:eastAsia="Arial" w:hAnsi="Arial"/>
                <w:sz w:val="19"/>
                <w:szCs w:val="19"/>
              </w:rPr>
              <w:t xml:space="preserve">.</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y 3 (2023).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z w:val="19"/>
                <w:szCs w:val="19"/>
                <w:u w:val="single"/>
              </w:rPr>
              <w:t xml:space="preserve">__/__/____</w:t>
            </w:r>
            <w:r>
              <w:rPr>
                <w:rFonts w:ascii="Arial" w:cs="Arial" w:eastAsia="Arial" w:hAnsi="Arial"/>
                <w:sz w:val="19"/>
                <w:szCs w:val="19"/>
              </w:rPr>
              <w:t xml:space="preserve">. </w:t>
            </w:r>
            <w:r>
              <w:rPr>
                <w:rFonts w:ascii="Arial" w:cs="Arial" w:eastAsia="Arial" w:hAnsi="Arial"/>
                <w:sz w:val="19"/>
                <w:szCs w:val="19"/>
                <w:u w:val="single"/>
              </w:rPr>
              <w:t xml:space="preserve">Validado: Comité de Riesgos, __/__/____.</w:t>
            </w:r>
            <w:r>
              <w:rPr>
                <w:rFonts w:ascii="Arial" w:cs="Arial" w:eastAsia="Arial" w:hAnsi="Arial"/>
                <w:sz w:val="19"/>
                <w:szCs w:val="19"/>
              </w:rPr>
              <w:t xml:space="preserve"> Aprobado: Consejo de Administración, </w:t>
            </w:r>
            <w:r>
              <w:rPr>
                <w:rFonts w:ascii="Arial" w:cs="Arial" w:eastAsia="Arial" w:hAnsi="Arial"/>
                <w:sz w:val="19"/>
                <w:szCs w:val="19"/>
                <w:u w:val="single"/>
              </w:rPr>
              <w:t xml:space="preserve">__/__/____, Acta ____.</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3 (2023) y </w:t>
            </w:r>
            <w:r>
              <w:rPr>
                <w:rFonts w:ascii="Arial" w:cs="Arial" w:eastAsia="Arial" w:hAnsi="Arial"/>
                <w:sz w:val="19"/>
                <w:szCs w:val="19"/>
                <w:u w:val="single"/>
              </w:rPr>
              <w:t xml:space="preserve">4 (__/__/____, Acta ____): 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RP-GG-PL-003 · Comparativo V03 – V04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2026-10-16T17:30:54.091Z</dcterms:created>
  <dcterms:modified xsi:type="dcterms:W3CDTF">2026-10-16T17:30:54.093Z</dcterms:modified>
</cp:coreProperties>
</file>

<file path=docProps/custom.xml><?xml version="1.0" encoding="utf-8"?>
<Properties xmlns="http://schemas.openxmlformats.org/officeDocument/2006/custom-properties" xmlns:vt="http://schemas.openxmlformats.org/officeDocument/2006/docPropsVTypes"/>
</file>