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  <w:t xml:space="preserve">Temporary solution for factory problem is in your seeder use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02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(\Stocks\Database\Factories\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TestFactory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61afe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Instead of </w:t>
      </w:r>
    </w:p>
    <w:p w:rsidR="00000000" w:rsidDel="00000000" w:rsidP="00000000" w:rsidRDefault="00000000" w:rsidRPr="00000000" w14:paraId="00000005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