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 Fairness Reflection</w:t>
      </w:r>
    </w:p>
    <w:p>
      <w:pPr>
        <w:spacing w:after="100"/>
      </w:pPr>
      <w:r>
        <w:t xml:space="preserve">City Library After-School Program — End-of-Summer Reading Report</w:t>
      </w:r>
    </w:p>
    <w:p>
      <w:pPr>
        <w:spacing w:after="150"/>
      </w:pPr>
      <w:r>
        <w:t xml:space="preserve">This reflection compares the five neighborhoods the program serves, using the cleaned dataset (task2_cleaned_data.csv), to judge whether any neighborhood is under-represented.</w:t>
      </w:r>
    </w:p>
    <w:p>
      <w:pPr>
        <w:pStyle w:val="Heading1"/>
        <w:spacing w:after="150" w:before="300"/>
      </w:pPr>
      <w:r>
        <w:t xml:space="preserve">Neighborhood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700"/>
        <w:gridCol w:w="1700"/>
        <w:gridCol w:w="1700"/>
      </w:tblGrid>
      <w:tr>
        <w:tc>
          <w:tcPr>
            <w:tcW w:type="dxa" w:w="1900"/>
            <w:shd w:fill="1F2A44" w:val="clear"/>
          </w:tcPr>
          <w:p>
            <w:r>
              <w:rPr>
                <w:b/>
                <w:bCs/>
                <w:color w:val="FFFFFF"/>
              </w:rPr>
              <w:t xml:space="preserve">Neighborhood</w:t>
            </w:r>
          </w:p>
        </w:tc>
        <w:tc>
          <w:tcPr>
            <w:tcW w:type="dxa" w:w="1900"/>
            <w:shd w:fill="1F2A44" w:val="clear"/>
          </w:tcPr>
          <w:p>
            <w:r>
              <w:rPr>
                <w:b/>
                <w:bCs/>
                <w:color w:val="FFFFFF"/>
              </w:rPr>
              <w:t xml:space="preserve">Members</w:t>
            </w:r>
          </w:p>
        </w:tc>
        <w:tc>
          <w:tcPr>
            <w:tcW w:type="dxa" w:w="1900"/>
            <w:shd w:fill="1F2A44" w:val="clear"/>
          </w:tcPr>
          <w:p>
            <w:r>
              <w:rPr>
                <w:b/>
                <w:bCs/>
                <w:color w:val="FFFFFF"/>
              </w:rPr>
              <w:t xml:space="preserve">Checkouts</w:t>
            </w:r>
          </w:p>
        </w:tc>
        <w:tc>
          <w:tcPr>
            <w:tcW w:type="dxa" w:w="1900"/>
            <w:shd w:fill="1F2A44" w:val="clear"/>
          </w:tcPr>
          <w:p>
            <w:r>
              <w:rPr>
                <w:b/>
                <w:bCs/>
                <w:color w:val="FFFFFF"/>
              </w:rPr>
              <w:t xml:space="preserve">Member share</w:t>
            </w:r>
          </w:p>
        </w:tc>
        <w:tc>
          <w:tcPr>
            <w:tcW w:type="dxa" w:w="1900"/>
            <w:shd w:fill="1F2A44" w:val="clear"/>
          </w:tcPr>
          <w:p>
            <w:r>
              <w:rPr>
                <w:b/>
                <w:bCs/>
                <w:color w:val="FFFFFF"/>
              </w:rPr>
              <w:t xml:space="preserve">Checkout share</w:t>
            </w:r>
          </w:p>
        </w:tc>
        <w:tc>
          <w:tcPr>
            <w:tcW w:type="dxa" w:w="1900"/>
            <w:shd w:fill="1F2A44" w:val="clear"/>
          </w:tcPr>
          <w:p>
            <w:r>
              <w:rPr>
                <w:b/>
                <w:bCs/>
                <w:color w:val="FFFFFF"/>
              </w:rPr>
              <w:t xml:space="preserve">Gap (pts)</w:t>
            </w:r>
          </w:p>
        </w:tc>
      </w:tr>
      <w:tr>
        <w:tc>
          <w:tcPr>
            <w:tcW w:type="dxa" w:w="1900"/>
          </w:tcPr>
          <w:p>
            <w:r>
              <w:t xml:space="preserve">Maadi</w:t>
            </w:r>
          </w:p>
        </w:tc>
        <w:tc>
          <w:tcPr>
            <w:tcW w:type="dxa" w:w="1500"/>
          </w:tcPr>
          <w:p>
            <w:r>
              <w:t xml:space="preserve">20</w:t>
            </w:r>
          </w:p>
        </w:tc>
        <w:tc>
          <w:tcPr>
            <w:tcW w:type="dxa" w:w="1500"/>
          </w:tcPr>
          <w:p>
            <w:r>
              <w:t xml:space="preserve">114</w:t>
            </w:r>
          </w:p>
        </w:tc>
        <w:tc>
          <w:tcPr>
            <w:tcW w:type="dxa" w:w="1700"/>
          </w:tcPr>
          <w:p>
            <w:r>
              <w:t xml:space="preserve">30.8%</w:t>
            </w:r>
          </w:p>
        </w:tc>
        <w:tc>
          <w:tcPr>
            <w:tcW w:type="dxa" w:w="1700"/>
          </w:tcPr>
          <w:p>
            <w:r>
              <w:t xml:space="preserve">28.2%</w:t>
            </w:r>
          </w:p>
        </w:tc>
        <w:tc>
          <w:tcPr>
            <w:tcW w:type="dxa" w:w="1700"/>
          </w:tcPr>
          <w:p>
            <w:r>
              <w:t xml:space="preserve">-2.6</w:t>
            </w:r>
          </w:p>
        </w:tc>
      </w:tr>
      <w:tr>
        <w:tc>
          <w:tcPr>
            <w:tcW w:type="dxa" w:w="1900"/>
          </w:tcPr>
          <w:p>
            <w:r>
              <w:t xml:space="preserve">Zamalek</w:t>
            </w:r>
          </w:p>
        </w:tc>
        <w:tc>
          <w:tcPr>
            <w:tcW w:type="dxa" w:w="1500"/>
          </w:tcPr>
          <w:p>
            <w:r>
              <w:t xml:space="preserve">11</w:t>
            </w:r>
          </w:p>
        </w:tc>
        <w:tc>
          <w:tcPr>
            <w:tcW w:type="dxa" w:w="1500"/>
          </w:tcPr>
          <w:p>
            <w:r>
              <w:t xml:space="preserve">68</w:t>
            </w:r>
          </w:p>
        </w:tc>
        <w:tc>
          <w:tcPr>
            <w:tcW w:type="dxa" w:w="1700"/>
          </w:tcPr>
          <w:p>
            <w:r>
              <w:t xml:space="preserve">16.9%</w:t>
            </w:r>
          </w:p>
        </w:tc>
        <w:tc>
          <w:tcPr>
            <w:tcW w:type="dxa" w:w="1700"/>
          </w:tcPr>
          <w:p>
            <w:r>
              <w:t xml:space="preserve">16.8%</w:t>
            </w:r>
          </w:p>
        </w:tc>
        <w:tc>
          <w:tcPr>
            <w:tcW w:type="dxa" w:w="1700"/>
          </w:tcPr>
          <w:p>
            <w:r>
              <w:t xml:space="preserve">-0.1</w:t>
            </w:r>
          </w:p>
        </w:tc>
      </w:tr>
      <w:tr>
        <w:tc>
          <w:tcPr>
            <w:tcW w:type="dxa" w:w="1900"/>
          </w:tcPr>
          <w:p>
            <w:r>
              <w:t xml:space="preserve">Nasr City</w:t>
            </w:r>
          </w:p>
        </w:tc>
        <w:tc>
          <w:tcPr>
            <w:tcW w:type="dxa" w:w="1500"/>
          </w:tcPr>
          <w:p>
            <w:r>
              <w:t xml:space="preserve">16</w:t>
            </w:r>
          </w:p>
        </w:tc>
        <w:tc>
          <w:tcPr>
            <w:tcW w:type="dxa" w:w="1500"/>
          </w:tcPr>
          <w:p>
            <w:r>
              <w:t xml:space="preserve">101</w:t>
            </w:r>
          </w:p>
        </w:tc>
        <w:tc>
          <w:tcPr>
            <w:tcW w:type="dxa" w:w="1700"/>
          </w:tcPr>
          <w:p>
            <w:r>
              <w:t xml:space="preserve">24.6%</w:t>
            </w:r>
          </w:p>
        </w:tc>
        <w:tc>
          <w:tcPr>
            <w:tcW w:type="dxa" w:w="1700"/>
          </w:tcPr>
          <w:p>
            <w:r>
              <w:t xml:space="preserve">25.0%</w:t>
            </w:r>
          </w:p>
        </w:tc>
        <w:tc>
          <w:tcPr>
            <w:tcW w:type="dxa" w:w="1700"/>
          </w:tcPr>
          <w:p>
            <w:r>
              <w:t xml:space="preserve">+0.4</w:t>
            </w:r>
          </w:p>
        </w:tc>
      </w:tr>
      <w:tr>
        <w:tc>
          <w:tcPr>
            <w:tcW w:type="dxa" w:w="1900"/>
          </w:tcPr>
          <w:p>
            <w:r>
              <w:t xml:space="preserve">Shubra</w:t>
            </w:r>
          </w:p>
        </w:tc>
        <w:tc>
          <w:tcPr>
            <w:tcW w:type="dxa" w:w="1500"/>
          </w:tcPr>
          <w:p>
            <w:r>
              <w:t xml:space="preserve">5</w:t>
            </w:r>
          </w:p>
        </w:tc>
        <w:tc>
          <w:tcPr>
            <w:tcW w:type="dxa" w:w="1500"/>
          </w:tcPr>
          <w:p>
            <w:r>
              <w:t xml:space="preserve">34</w:t>
            </w:r>
          </w:p>
        </w:tc>
        <w:tc>
          <w:tcPr>
            <w:tcW w:type="dxa" w:w="1700"/>
          </w:tcPr>
          <w:p>
            <w:r>
              <w:t xml:space="preserve">7.7%</w:t>
            </w:r>
          </w:p>
        </w:tc>
        <w:tc>
          <w:tcPr>
            <w:tcW w:type="dxa" w:w="1700"/>
          </w:tcPr>
          <w:p>
            <w:r>
              <w:t xml:space="preserve">8.4%</w:t>
            </w:r>
          </w:p>
        </w:tc>
        <w:tc>
          <w:tcPr>
            <w:tcW w:type="dxa" w:w="1700"/>
          </w:tcPr>
          <w:p>
            <w:r>
              <w:t xml:space="preserve">+0.7</w:t>
            </w:r>
          </w:p>
        </w:tc>
      </w:tr>
      <w:tr>
        <w:tc>
          <w:tcPr>
            <w:tcW w:type="dxa" w:w="1900"/>
          </w:tcPr>
          <w:p>
            <w:r>
              <w:t xml:space="preserve">Heliopolis</w:t>
            </w:r>
          </w:p>
        </w:tc>
        <w:tc>
          <w:tcPr>
            <w:tcW w:type="dxa" w:w="1500"/>
          </w:tcPr>
          <w:p>
            <w:r>
              <w:t xml:space="preserve">13</w:t>
            </w:r>
          </w:p>
        </w:tc>
        <w:tc>
          <w:tcPr>
            <w:tcW w:type="dxa" w:w="1500"/>
          </w:tcPr>
          <w:p>
            <w:r>
              <w:t xml:space="preserve">87</w:t>
            </w:r>
          </w:p>
        </w:tc>
        <w:tc>
          <w:tcPr>
            <w:tcW w:type="dxa" w:w="1700"/>
          </w:tcPr>
          <w:p>
            <w:r>
              <w:t xml:space="preserve">20.0%</w:t>
            </w:r>
          </w:p>
        </w:tc>
        <w:tc>
          <w:tcPr>
            <w:tcW w:type="dxa" w:w="1700"/>
          </w:tcPr>
          <w:p>
            <w:r>
              <w:t xml:space="preserve">21.5%</w:t>
            </w:r>
          </w:p>
        </w:tc>
        <w:tc>
          <w:tcPr>
            <w:tcW w:type="dxa" w:w="1700"/>
          </w:tcPr>
          <w:p>
            <w:r>
              <w:t xml:space="preserve">+1.5</w:t>
            </w:r>
          </w:p>
        </w:tc>
      </w:tr>
    </w:tbl>
    <w:p>
      <w:pPr>
        <w:spacing w:after="150"/>
      </w:pPr>
    </w:p>
    <w:p>
      <w:pPr>
        <w:spacing w:after="150"/>
      </w:pPr>
      <w:r>
        <w:t xml:space="preserve">“Member share” is each neighborhood's percentage of all members who appear in the cleaned dataset (65 members total); “Checkout share” is its percentage of all 404 checkouts. “Gap” is checkout share minus member share, in percentage points: a meaningfully negative gap would mean that neighborhood's checkout activity trails behind how many of the program's members it accounts for.</w:t>
      </w:r>
    </w:p>
    <w:p>
      <w:pPr>
        <w:pStyle w:val="Heading1"/>
        <w:spacing w:after="150" w:before="300"/>
      </w:pPr>
      <w:r>
        <w:t xml:space="preserve">1. Basis for judging under-representation</w:t>
      </w:r>
    </w:p>
    <w:p>
      <w:pPr>
        <w:spacing w:after="150"/>
      </w:pPr>
      <w:r>
        <w:t xml:space="preserve">A neighborhood was treated as under-represented if its share of total checkouts fell noticeably (more than 10 percentage points) below its share of total members — in other words, if its members were checking out books at a rate clearly below what their share of the membership base would predict. This basis was chosen because it measures each neighborhood against its own presence in the program, rather than against an outside population figure the project doesn't have access to.</w:t>
      </w:r>
    </w:p>
    <w:p>
      <w:pPr>
        <w:pStyle w:val="Heading1"/>
        <w:spacing w:after="150" w:before="300"/>
      </w:pPr>
      <w:r>
        <w:t xml:space="preserve">2. Finding</w:t>
      </w:r>
    </w:p>
    <w:p>
      <w:pPr>
        <w:spacing w:after="150"/>
      </w:pPr>
      <w:r>
        <w:t xml:space="preserve">No neighborhood crosses that threshold. The largest gap is Maadi, whose checkout share (28.2%) sits 2.6 points below its member share (30.8%) — a small difference, and every other neighborhood (Zamalek, Nasr City, Shubra, Heliopolis) is within about 1.5 points of matching its member share exactly. Based on this comparison, no neighborhood in this dataset is under-represented.</w:t>
      </w:r>
    </w:p>
    <w:p>
      <w:pPr>
        <w:pStyle w:val="Heading1"/>
        <w:spacing w:after="150" w:before="300"/>
      </w:pPr>
      <w:r>
        <w:t xml:space="preserve">3. A plausible reason for the differences that do exist</w:t>
      </w:r>
    </w:p>
    <w:p>
      <w:pPr>
        <w:spacing w:after="150"/>
      </w:pPr>
      <w:r>
        <w:t xml:space="preserve">The small gaps that remain are consistent with ordinary sample-size variation rather than a systemic gap: Shubra, for example, has the fewest members of any neighborhood (5 in this dataset), so a handful of especially active or especially quiet readers there can swing its share by a couple of points in either direction. Maadi, the largest neighborhood, would need only a few less-active members to pull its checkout share slightly below its member share, exactly the small effect seen here.</w:t>
      </w:r>
    </w:p>
    <w:p>
      <w:pPr>
        <w:pStyle w:val="Heading1"/>
        <w:spacing w:after="150" w:before="300"/>
      </w:pPr>
      <w:r>
        <w:t xml:space="preserve">4. A reasonable next step</w:t>
      </w:r>
    </w:p>
    <w:p>
      <w:pPr>
        <w:spacing w:after="150"/>
      </w:pPr>
      <w:r>
        <w:t xml:space="preserve">Even without a clear gap, Shubra is worth keeping an eye on next summer simply because it has the smallest member base of the five neighborhoods — the library could track whether outreach for the After-School Program (flyers, school partnerships, sign-up events) is reaching Shubra families as consistently as the other four neighborhoods, so that a real gap doesn't emerge as the program grows.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2026-08-23T18:43:28.652Z</dcterms:created>
  <dcterms:modified xsi:type="dcterms:W3CDTF">2026-08-23T18:43:28.653Z</dcterms:modified>
</cp:coreProperties>
</file>

<file path=docProps/custom.xml><?xml version="1.0" encoding="utf-8"?>
<Properties xmlns="http://schemas.openxmlformats.org/officeDocument/2006/custom-properties" xmlns:vt="http://schemas.openxmlformats.org/officeDocument/2006/docPropsVTypes"/>
</file>