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jc w:val="center"/>
      </w:pPr>
      <w:r>
        <w:rPr>
          <w:rFonts w:ascii="Calibri" w:cs="Calibri" w:eastAsia="Calibri" w:hAnsi="Calibri"/>
          <w:b/>
          <w:bCs/>
          <w:color w:val="0F172A"/>
          <w:sz w:val="64"/>
          <w:szCs w:val="64"/>
        </w:rPr>
        <w:t xml:space="preserve">Press</w:t>
      </w:r>
      <w:r>
        <w:rPr>
          <w:rFonts w:ascii="Calibri" w:cs="Calibri" w:eastAsia="Calibri" w:hAnsi="Calibri"/>
          <w:b/>
          <w:bCs/>
          <w:color w:val="2563EB"/>
          <w:sz w:val="64"/>
          <w:szCs w:val="64"/>
        </w:rPr>
        <w:t xml:space="preserve">Link</w:t>
      </w:r>
    </w:p>
    <w:p>
      <w:pPr>
        <w:spacing w:after="60"/>
      </w:pPr>
    </w:p>
    <w:p>
      <w:pPr>
        <w:pBdr>
          <w:bottom w:val="single" w:color="2563EB" w:sz="12" w:space="8"/>
        </w:pBdr>
        <w:jc w:val="center"/>
      </w:pPr>
      <w:r>
        <w:rPr>
          <w:sz w:val="4"/>
          <w:szCs w:val="4"/>
        </w:rPr>
        <w:t xml:space="preserve"> </w:t>
      </w:r>
    </w:p>
    <w:p>
      <w:pPr>
        <w:spacing w:after="500"/>
      </w:pPr>
    </w:p>
    <w:p>
      <w:pPr>
        <w:jc w:val="center"/>
      </w:pPr>
      <w:r>
        <w:rPr>
          <w:rFonts w:ascii="Calibri" w:cs="Calibri" w:eastAsia="Calibri" w:hAnsi="Calibri"/>
          <w:b/>
          <w:bCs/>
          <w:color w:val="0F172A"/>
          <w:sz w:val="44"/>
          <w:szCs w:val="44"/>
        </w:rPr>
        <w:t xml:space="preserve">Offre commerciale</w:t>
      </w:r>
    </w:p>
    <w:p>
      <w:pPr>
        <w:spacing w:before="120"/>
        <w:jc w:val="center"/>
      </w:pPr>
      <w:r>
        <w:rPr>
          <w:rFonts w:ascii="Calibri" w:cs="Calibri" w:eastAsia="Calibri" w:hAnsi="Calibri"/>
          <w:color w:val="475569"/>
          <w:sz w:val="26"/>
          <w:szCs w:val="26"/>
        </w:rPr>
        <w:t xml:space="preserve">Structure de service, formules &amp; tarification — V1</w:t>
      </w:r>
    </w:p>
    <w:p>
      <w:pPr>
        <w:spacing w:after="900"/>
      </w:pPr>
    </w:p>
    <w:p>
      <w:pPr>
        <w:jc w:val="center"/>
      </w:pPr>
      <w:r>
        <w:rPr>
          <w:rFonts w:ascii="Calibri" w:cs="Calibri" w:eastAsia="Calibri" w:hAnsi="Calibri"/>
          <w:i/>
          <w:iCs/>
          <w:color w:val="1D4ED8"/>
          <w:sz w:val="22"/>
          <w:szCs w:val="22"/>
        </w:rPr>
        <w:t xml:space="preserve">Le lien entre votre pressing et vos clients.</w:t>
      </w:r>
    </w:p>
    <w:p>
      <w:pPr>
        <w:spacing w:after="1400"/>
      </w:pPr>
    </w:p>
    <w:p>
      <w:pPr>
        <w:jc w:val="center"/>
      </w:pPr>
      <w:r>
        <w:rPr>
          <w:rFonts w:ascii="Calibri" w:cs="Calibri" w:eastAsia="Calibri" w:hAnsi="Calibri"/>
          <w:color w:val="94A3B8"/>
          <w:sz w:val="18"/>
          <w:szCs w:val="18"/>
        </w:rPr>
        <w:t xml:space="preserve">Document confidentiel — usage commercial interne</w:t>
      </w:r>
    </w:p>
    <w:p>
      <w:pPr>
        <w:spacing w:before="60"/>
        <w:jc w:val="center"/>
      </w:pPr>
      <w:r>
        <w:rPr>
          <w:rFonts w:ascii="Calibri" w:cs="Calibri" w:eastAsia="Calibri" w:hAnsi="Calibri"/>
          <w:color w:val="94A3B8"/>
          <w:sz w:val="18"/>
          <w:szCs w:val="18"/>
        </w:rPr>
        <w:t xml:space="preserve">PressLink · 2026</w:t>
      </w:r>
    </w:p>
    <w:p>
      <w:r>
        <w:br w:type="page"/>
      </w:r>
    </w:p>
    <w:p>
      <w:pPr>
        <w:spacing w:after="40" w:before="0"/>
      </w:pPr>
      <w:r>
        <w:rPr>
          <w:rFonts w:ascii="Calibri" w:cs="Calibri" w:eastAsia="Calibri" w:hAnsi="Calibri"/>
          <w:b/>
          <w:bCs/>
          <w:color w:val="2563EB"/>
          <w:spacing w:val="20"/>
          <w:sz w:val="16"/>
          <w:szCs w:val="16"/>
        </w:rPr>
        <w:t xml:space="preserve">SOMMAIRE</w:t>
      </w:r>
    </w:p>
    <w:p>
      <w:pPr>
        <w:pStyle w:val="Heading1"/>
        <w:pBdr>
          <w:bottom w:val="single" w:color="2563EB" w:sz="8" w:space="6"/>
        </w:pBdr>
        <w:spacing w:after="200" w:before="480"/>
      </w:pPr>
      <w:r>
        <w:rPr>
          <w:rFonts w:ascii="Calibri" w:cs="Calibri" w:eastAsia="Calibri" w:hAnsi="Calibri"/>
          <w:b/>
          <w:bCs/>
          <w:color w:val="0F172A"/>
          <w:sz w:val="30"/>
          <w:szCs w:val="30"/>
        </w:rPr>
        <w:t xml:space="preserve">Dans ce document</w:t>
      </w:r>
    </w:p>
    <w:p>
      <w:pPr>
        <w:spacing w:after="100"/>
      </w:pPr>
    </w:p>
    <w:p>
      <w:pPr>
        <w:tabs>
          <w:tab w:val="right" w:pos="9026" w:leader="dot"/>
        </w:tabs>
        <w:spacing w:after="130"/>
      </w:pPr>
      <w:r>
        <w:rPr>
          <w:rFonts w:ascii="Calibri" w:cs="Calibri" w:eastAsia="Calibri" w:hAnsi="Calibri"/>
          <w:color w:val="0F172A"/>
          <w:sz w:val="22"/>
          <w:szCs w:val="22"/>
        </w:rPr>
        <w:t xml:space="preserve">1. Notre approche : ticket d'entrée + abonnement</w:t>
      </w:r>
    </w:p>
    <w:p>
      <w:pPr>
        <w:tabs>
          <w:tab w:val="right" w:pos="9026" w:leader="dot"/>
        </w:tabs>
        <w:spacing w:after="130"/>
      </w:pPr>
      <w:r>
        <w:rPr>
          <w:rFonts w:ascii="Calibri" w:cs="Calibri" w:eastAsia="Calibri" w:hAnsi="Calibri"/>
          <w:color w:val="0F172A"/>
          <w:sz w:val="22"/>
          <w:szCs w:val="22"/>
        </w:rPr>
        <w:t xml:space="preserve">2. Les trois formules PressLink</w:t>
      </w:r>
    </w:p>
    <w:p>
      <w:pPr>
        <w:tabs>
          <w:tab w:val="right" w:pos="9026" w:leader="dot"/>
        </w:tabs>
        <w:spacing w:after="130"/>
      </w:pPr>
      <w:r>
        <w:rPr>
          <w:rFonts w:ascii="Calibri" w:cs="Calibri" w:eastAsia="Calibri" w:hAnsi="Calibri"/>
          <w:color w:val="0F172A"/>
          <w:sz w:val="22"/>
          <w:szCs w:val="22"/>
        </w:rPr>
        <w:t xml:space="preserve">3. Grille tarifaire</w:t>
      </w:r>
    </w:p>
    <w:p>
      <w:pPr>
        <w:tabs>
          <w:tab w:val="right" w:pos="9026" w:leader="dot"/>
        </w:tabs>
        <w:spacing w:after="130"/>
      </w:pPr>
      <w:r>
        <w:rPr>
          <w:rFonts w:ascii="Calibri" w:cs="Calibri" w:eastAsia="Calibri" w:hAnsi="Calibri"/>
          <w:color w:val="0F172A"/>
          <w:sz w:val="22"/>
          <w:szCs w:val="22"/>
        </w:rPr>
        <w:t xml:space="preserve">4. Fonctionnalités incluses par formule</w:t>
      </w:r>
    </w:p>
    <w:p>
      <w:pPr>
        <w:tabs>
          <w:tab w:val="right" w:pos="9026" w:leader="dot"/>
        </w:tabs>
        <w:spacing w:after="130"/>
      </w:pPr>
      <w:r>
        <w:rPr>
          <w:rFonts w:ascii="Calibri" w:cs="Calibri" w:eastAsia="Calibri" w:hAnsi="Calibri"/>
          <w:color w:val="0F172A"/>
          <w:sz w:val="22"/>
          <w:szCs w:val="22"/>
        </w:rPr>
        <w:t xml:space="preserve">5. Limites de chaque formule</w:t>
      </w:r>
    </w:p>
    <w:p>
      <w:pPr>
        <w:tabs>
          <w:tab w:val="right" w:pos="9026" w:leader="dot"/>
        </w:tabs>
        <w:spacing w:after="130"/>
      </w:pPr>
      <w:r>
        <w:rPr>
          <w:rFonts w:ascii="Calibri" w:cs="Calibri" w:eastAsia="Calibri" w:hAnsi="Calibri"/>
          <w:color w:val="0F172A"/>
          <w:sz w:val="22"/>
          <w:szCs w:val="22"/>
        </w:rPr>
        <w:t xml:space="preserve">6. Ce que comprend l'installation</w:t>
      </w:r>
    </w:p>
    <w:p>
      <w:pPr>
        <w:tabs>
          <w:tab w:val="right" w:pos="9026" w:leader="dot"/>
        </w:tabs>
        <w:spacing w:after="130"/>
      </w:pPr>
      <w:r>
        <w:rPr>
          <w:rFonts w:ascii="Calibri" w:cs="Calibri" w:eastAsia="Calibri" w:hAnsi="Calibri"/>
          <w:color w:val="0F172A"/>
          <w:sz w:val="22"/>
          <w:szCs w:val="22"/>
        </w:rPr>
        <w:t xml:space="preserve">7. Ce que comprend la maintenance</w:t>
      </w:r>
    </w:p>
    <w:p>
      <w:pPr>
        <w:tabs>
          <w:tab w:val="right" w:pos="9026" w:leader="dot"/>
        </w:tabs>
        <w:spacing w:after="130"/>
      </w:pPr>
      <w:r>
        <w:rPr>
          <w:rFonts w:ascii="Calibri" w:cs="Calibri" w:eastAsia="Calibri" w:hAnsi="Calibri"/>
          <w:color w:val="0F172A"/>
          <w:sz w:val="22"/>
          <w:szCs w:val="22"/>
        </w:rPr>
        <w:t xml:space="preserve">8. Prestations facturées en supplément</w:t>
      </w:r>
    </w:p>
    <w:p>
      <w:pPr>
        <w:tabs>
          <w:tab w:val="right" w:pos="9026" w:leader="dot"/>
        </w:tabs>
        <w:spacing w:after="130"/>
      </w:pPr>
      <w:r>
        <w:rPr>
          <w:rFonts w:ascii="Calibri" w:cs="Calibri" w:eastAsia="Calibri" w:hAnsi="Calibri"/>
          <w:color w:val="0F172A"/>
          <w:sz w:val="22"/>
          <w:szCs w:val="22"/>
        </w:rPr>
        <w:t xml:space="preserve">9. Synthèse de l'offre</w:t>
      </w:r>
    </w:p>
    <w:p>
      <w:r>
        <w:br w:type="page"/>
      </w:r>
    </w:p>
    <w:p>
      <w:pPr>
        <w:spacing w:after="40" w:before="0"/>
      </w:pPr>
      <w:r>
        <w:rPr>
          <w:rFonts w:ascii="Calibri" w:cs="Calibri" w:eastAsia="Calibri" w:hAnsi="Calibri"/>
          <w:b/>
          <w:bCs/>
          <w:color w:val="2563EB"/>
          <w:spacing w:val="20"/>
          <w:sz w:val="16"/>
          <w:szCs w:val="16"/>
        </w:rPr>
        <w:t xml:space="preserve">SECTION 1</w:t>
      </w:r>
    </w:p>
    <w:p>
      <w:pPr>
        <w:pStyle w:val="Heading1"/>
        <w:pBdr>
          <w:bottom w:val="single" w:color="2563EB" w:sz="8" w:space="6"/>
        </w:pBdr>
        <w:spacing w:after="200" w:before="480"/>
      </w:pPr>
      <w:r>
        <w:rPr>
          <w:rFonts w:ascii="Calibri" w:cs="Calibri" w:eastAsia="Calibri" w:hAnsi="Calibri"/>
          <w:b/>
          <w:bCs/>
          <w:color w:val="0F172A"/>
          <w:sz w:val="30"/>
          <w:szCs w:val="30"/>
        </w:rPr>
        <w:t xml:space="preserve">Notre approche : ticket d'entrée + abonnement</w:t>
      </w:r>
    </w:p>
    <w:p>
      <w:pPr>
        <w:spacing w:after="140" w:line="300"/>
      </w:pPr>
      <w:r>
        <w:rPr>
          <w:rFonts w:ascii="Calibri" w:cs="Calibri" w:eastAsia="Calibri" w:hAnsi="Calibri"/>
          <w:color w:val="475569"/>
          <w:sz w:val="21"/>
          <w:szCs w:val="21"/>
        </w:rPr>
        <w:t xml:space="preserve">PressLink est un logiciel de gestion vendu directement aux pressings — pas une application grand public qui doit encaisser automatiquement des abonnements en ligne. L'offre commerciale repose donc sur deux composantes distinctes et complémentaires.</w:t>
      </w:r>
    </w:p>
    <w:tbl>
      <w:tblPr>
        <w:tblW w:type="dxa" w:w="9458"/>
        <w:tblBorders>
          <w:top w:val="single" w:color="2563EB" w:sz="4"/>
          <w:left w:val="single" w:color="2563EB" w:sz="4"/>
          <w:bottom w:val="single" w:color="2563EB" w:sz="4"/>
          <w:right w:val="single" w:color="2563EB" w:sz="4"/>
          <w:insideH w:val="none" w:color="FFFFFF" w:sz="0"/>
          <w:insideV w:val="none" w:color="FFFFFF" w:sz="0"/>
        </w:tblBorders>
      </w:tblPr>
      <w:tblGrid>
        <w:gridCol w:w="9458"/>
      </w:tblGrid>
      <w:tr>
        <w:tc>
          <w:tcPr>
            <w:tcW w:type="dxa" w:w="9458"/>
            <w:shd w:fill="EFF4FE" w:val="clear"/>
            <w:tcMar>
              <w:top w:type="dxa" w:w="200"/>
              <w:left w:type="dxa" w:w="260"/>
              <w:bottom w:type="dxa" w:w="200"/>
              <w:right w:type="dxa" w:w="260"/>
            </w:tcMar>
          </w:tcPr>
          <w:p>
            <w:pPr>
              <w:spacing w:after="100"/>
            </w:pPr>
            <w:r>
              <w:rPr>
                <w:rFonts w:ascii="Calibri" w:cs="Calibri" w:eastAsia="Calibri" w:hAnsi="Calibri"/>
                <w:b/>
                <w:bCs/>
                <w:color w:val="1D4ED8"/>
                <w:sz w:val="22"/>
                <w:szCs w:val="22"/>
              </w:rPr>
              <w:t xml:space="preserve">A — Le ticket d'entrée</w:t>
            </w:r>
          </w:p>
          <w:p>
            <w:pPr>
              <w:spacing w:after="180"/>
            </w:pPr>
            <w:r>
              <w:rPr>
                <w:rFonts w:ascii="Calibri" w:cs="Calibri" w:eastAsia="Calibri" w:hAnsi="Calibri"/>
                <w:color w:val="475569"/>
                <w:sz w:val="20"/>
                <w:szCs w:val="20"/>
              </w:rPr>
              <w:t xml:space="preserve">Payé une seule fois, lors de l'installation. Il couvre la configuration du pressing, le paramétrage des services et tarifs, la création des comptes, l'installation de l'application, la formation de l'équipe et la mise en production.</w:t>
            </w:r>
          </w:p>
          <w:p>
            <w:pPr>
              <w:spacing w:after="100"/>
            </w:pPr>
            <w:r>
              <w:rPr>
                <w:rFonts w:ascii="Calibri" w:cs="Calibri" w:eastAsia="Calibri" w:hAnsi="Calibri"/>
                <w:b/>
                <w:bCs/>
                <w:color w:val="1D4ED8"/>
                <w:sz w:val="22"/>
                <w:szCs w:val="22"/>
              </w:rPr>
              <w:t xml:space="preserve">B — L'abonnement de maintenance &amp; d'évolution</w:t>
            </w:r>
          </w:p>
          <w:p>
            <w:r>
              <w:rPr>
                <w:rFonts w:ascii="Calibri" w:cs="Calibri" w:eastAsia="Calibri" w:hAnsi="Calibri"/>
                <w:color w:val="475569"/>
                <w:sz w:val="20"/>
                <w:szCs w:val="20"/>
              </w:rPr>
              <w:t xml:space="preserve">Payé mensuellement ou annuellement. Il couvre l'hébergement, la maintenance corrective, la sécurité, le support, les sauvegardes et les évolutions du produit correspondant à la formule souscrite.</w:t>
            </w:r>
          </w:p>
        </w:tc>
      </w:tr>
    </w:tbl>
    <w:p>
      <w:pPr>
        <w:spacing w:after="200"/>
      </w:pPr>
    </w:p>
    <w:p>
      <w:pPr>
        <w:spacing w:after="100"/>
      </w:pPr>
      <w:r>
        <w:rPr>
          <w:rFonts w:ascii="Calibri" w:cs="Calibri" w:eastAsia="Calibri" w:hAnsi="Calibri"/>
          <w:color w:val="475569"/>
          <w:sz w:val="21"/>
          <w:szCs w:val="21"/>
        </w:rPr>
        <w:t xml:space="preserve">Le client n'achète donc pas une application « une fois pour toutes » : il entre dans l'écosystème PressLink avec une mise en service, puis bénéficie des améliorations du produit tant que son contrat de maintenance et d'évolution reste actif.</w:t>
      </w:r>
    </w:p>
    <w:p>
      <w:pPr>
        <w:pStyle w:val="Heading2"/>
        <w:spacing w:after="140" w:before="320"/>
      </w:pPr>
      <w:r>
        <w:rPr>
          <w:rFonts w:ascii="Calibri" w:cs="Calibri" w:eastAsia="Calibri" w:hAnsi="Calibri"/>
          <w:b/>
          <w:bCs/>
          <w:color w:val="1D4ED8"/>
          <w:sz w:val="24"/>
          <w:szCs w:val="24"/>
        </w:rPr>
        <w:t xml:space="preserve">Trois catégories de prestations</w:t>
      </w:r>
    </w:p>
    <w:p>
      <w:pPr>
        <w:pStyle w:val="ListParagraph"/>
        <w:numPr>
          <w:ilvl w:val="0"/>
          <w:numId w:val="2"/>
        </w:numPr>
        <w:spacing w:after="60"/>
      </w:pPr>
      <w:r>
        <w:rPr>
          <w:rFonts w:ascii="Calibri" w:cs="Calibri" w:eastAsia="Calibri" w:hAnsi="Calibri"/>
          <w:b/>
          <w:bCs/>
          <w:color w:val="0F172A"/>
          <w:sz w:val="21"/>
          <w:szCs w:val="21"/>
        </w:rPr>
        <w:t xml:space="preserve">Installation — </w:t>
      </w:r>
      <w:r>
        <w:rPr>
          <w:rFonts w:ascii="Calibri" w:cs="Calibri" w:eastAsia="Calibri" w:hAnsi="Calibri"/>
          <w:color w:val="475569"/>
          <w:sz w:val="21"/>
          <w:szCs w:val="21"/>
        </w:rPr>
        <w:t xml:space="preserve">payée une fois : configuration, déploiement, formation, mise en production.</w:t>
      </w:r>
    </w:p>
    <w:p>
      <w:pPr>
        <w:pStyle w:val="ListParagraph"/>
        <w:numPr>
          <w:ilvl w:val="0"/>
          <w:numId w:val="2"/>
        </w:numPr>
        <w:spacing w:after="60"/>
      </w:pPr>
      <w:r>
        <w:rPr>
          <w:rFonts w:ascii="Calibri" w:cs="Calibri" w:eastAsia="Calibri" w:hAnsi="Calibri"/>
          <w:b/>
          <w:bCs/>
          <w:color w:val="0F172A"/>
          <w:sz w:val="21"/>
          <w:szCs w:val="21"/>
        </w:rPr>
        <w:t xml:space="preserve">Abonnement — </w:t>
      </w:r>
      <w:r>
        <w:rPr>
          <w:rFonts w:ascii="Calibri" w:cs="Calibri" w:eastAsia="Calibri" w:hAnsi="Calibri"/>
          <w:color w:val="475569"/>
          <w:sz w:val="21"/>
          <w:szCs w:val="21"/>
        </w:rPr>
        <w:t xml:space="preserve">payé mensuellement/annuellement : accès au service, maintenance, support, mises à jour, évolutions du plan.</w:t>
      </w:r>
    </w:p>
    <w:p>
      <w:pPr>
        <w:pStyle w:val="ListParagraph"/>
        <w:numPr>
          <w:ilvl w:val="0"/>
          <w:numId w:val="2"/>
        </w:numPr>
        <w:spacing w:after="60"/>
      </w:pPr>
      <w:r>
        <w:rPr>
          <w:rFonts w:ascii="Calibri" w:cs="Calibri" w:eastAsia="Calibri" w:hAnsi="Calibri"/>
          <w:b/>
          <w:bCs/>
          <w:color w:val="0F172A"/>
          <w:sz w:val="21"/>
          <w:szCs w:val="21"/>
        </w:rPr>
        <w:t xml:space="preserve">Sur devis — </w:t>
      </w:r>
      <w:r>
        <w:rPr>
          <w:rFonts w:ascii="Calibri" w:cs="Calibri" w:eastAsia="Calibri" w:hAnsi="Calibri"/>
          <w:color w:val="475569"/>
          <w:sz w:val="21"/>
          <w:szCs w:val="21"/>
        </w:rPr>
        <w:t xml:space="preserve">développement spécifique, intégration externe, migration complexe, intervention exceptionnelle.</w:t>
      </w:r>
    </w:p>
    <w:p>
      <w:r>
        <w:br w:type="page"/>
      </w:r>
    </w:p>
    <w:p>
      <w:pPr>
        <w:spacing w:after="40" w:before="0"/>
      </w:pPr>
      <w:r>
        <w:rPr>
          <w:rFonts w:ascii="Calibri" w:cs="Calibri" w:eastAsia="Calibri" w:hAnsi="Calibri"/>
          <w:b/>
          <w:bCs/>
          <w:color w:val="2563EB"/>
          <w:spacing w:val="20"/>
          <w:sz w:val="16"/>
          <w:szCs w:val="16"/>
        </w:rPr>
        <w:t xml:space="preserve">SECTION 2</w:t>
      </w:r>
    </w:p>
    <w:p>
      <w:pPr>
        <w:pStyle w:val="Heading1"/>
        <w:pBdr>
          <w:bottom w:val="single" w:color="2563EB" w:sz="8" w:space="6"/>
        </w:pBdr>
        <w:spacing w:after="200" w:before="480"/>
      </w:pPr>
      <w:r>
        <w:rPr>
          <w:rFonts w:ascii="Calibri" w:cs="Calibri" w:eastAsia="Calibri" w:hAnsi="Calibri"/>
          <w:b/>
          <w:bCs/>
          <w:color w:val="0F172A"/>
          <w:sz w:val="30"/>
          <w:szCs w:val="30"/>
        </w:rPr>
        <w:t xml:space="preserve">Les trois formules PressLink</w:t>
      </w:r>
    </w:p>
    <w:p>
      <w:pPr>
        <w:spacing w:after="140" w:line="300"/>
      </w:pPr>
      <w:r>
        <w:rPr>
          <w:rFonts w:ascii="Calibri" w:cs="Calibri" w:eastAsia="Calibri" w:hAnsi="Calibri"/>
          <w:color w:val="475569"/>
          <w:sz w:val="21"/>
          <w:szCs w:val="21"/>
        </w:rPr>
        <w:t xml:space="preserve">Chaque formule correspond à un type de pressing, pas simplement à un nombre différent de fonctionnalités. Les fonctionnalités fondamentales de PressLink restent disponibles dès Starter : la montée en gamme vient de la profondeur de gestion, du pilotage et du multi-établissement.</w:t>
      </w:r>
    </w:p>
    <w:p>
      <w:pPr>
        <w:spacing w:after="100"/>
      </w:pPr>
    </w:p>
    <w:tbl>
      <w:tblPr>
        <w:tblW w:type="dxa" w:w="9458"/>
        <w:tblBorders>
          <w:top w:val="single" w:color="10B981" w:sz="4"/>
          <w:left w:val="single" w:color="10B981" w:sz="4"/>
          <w:bottom w:val="single" w:color="10B981" w:sz="4"/>
          <w:right w:val="single" w:color="10B981" w:sz="4"/>
          <w:insideH w:val="none" w:color="FFFFFF" w:sz="0"/>
          <w:insideV w:val="none" w:color="FFFFFF" w:sz="0"/>
        </w:tblBorders>
      </w:tblPr>
      <w:tblGrid>
        <w:gridCol w:w="9458"/>
      </w:tblGrid>
      <w:tr>
        <w:tc>
          <w:tcPr>
            <w:tcW w:type="dxa" w:w="9458"/>
            <w:shd w:fill="ECFDF5" w:val="clear"/>
            <w:tcMar>
              <w:top w:type="dxa" w:w="200"/>
              <w:left w:type="dxa" w:w="280"/>
              <w:bottom w:type="dxa" w:w="220"/>
              <w:right w:type="dxa" w:w="280"/>
            </w:tcMar>
          </w:tcPr>
          <w:p>
            <w:pPr>
              <w:spacing w:after="60"/>
            </w:pPr>
            <w:r>
              <w:rPr>
                <w:rFonts w:ascii="Calibri" w:cs="Calibri" w:eastAsia="Calibri" w:hAnsi="Calibri"/>
                <w:b/>
                <w:bCs/>
                <w:color w:val="10B981"/>
                <w:sz w:val="27"/>
                <w:szCs w:val="27"/>
              </w:rPr>
              <w:t xml:space="preserve">🟢 Starter — Digitaliser son pressing</w:t>
            </w:r>
          </w:p>
          <w:p>
            <w:pPr>
              <w:spacing w:after="100"/>
            </w:pPr>
            <w:r>
              <w:rPr>
                <w:rFonts w:ascii="Calibri" w:cs="Calibri" w:eastAsia="Calibri" w:hAnsi="Calibri"/>
                <w:b/>
                <w:bCs/>
                <w:color w:val="0F172A"/>
                <w:sz w:val="19"/>
                <w:szCs w:val="19"/>
              </w:rPr>
              <w:t xml:space="preserve">Cible : </w:t>
            </w:r>
            <w:r>
              <w:rPr>
                <w:rFonts w:ascii="Calibri" w:cs="Calibri" w:eastAsia="Calibri" w:hAnsi="Calibri"/>
                <w:color w:val="475569"/>
                <w:sz w:val="19"/>
                <w:szCs w:val="19"/>
              </w:rPr>
              <w:t xml:space="preserve">petit pressing indépendant, équipe réduite, premier passage au numérique.</w:t>
            </w:r>
          </w:p>
          <w:p>
            <w:r>
              <w:rPr>
                <w:rFonts w:ascii="Calibri" w:cs="Calibri" w:eastAsia="Calibri" w:hAnsi="Calibri"/>
                <w:i/>
                <w:iCs/>
                <w:color w:val="0F172A"/>
                <w:sz w:val="20"/>
                <w:szCs w:val="20"/>
              </w:rPr>
              <w:t xml:space="preserve">« L'essentiel pour gérer son pressing et tenir ses clients informés. »</w:t>
            </w:r>
          </w:p>
        </w:tc>
      </w:tr>
    </w:tbl>
    <w:p>
      <w:pPr>
        <w:spacing w:after="160"/>
      </w:pPr>
    </w:p>
    <w:tbl>
      <w:tblPr>
        <w:tblW w:type="dxa" w:w="9458"/>
        <w:tblBorders>
          <w:top w:val="single" w:color="2563EB" w:sz="4"/>
          <w:left w:val="single" w:color="2563EB" w:sz="4"/>
          <w:bottom w:val="single" w:color="2563EB" w:sz="4"/>
          <w:right w:val="single" w:color="2563EB" w:sz="4"/>
          <w:insideH w:val="none" w:color="FFFFFF" w:sz="0"/>
          <w:insideV w:val="none" w:color="FFFFFF" w:sz="0"/>
        </w:tblBorders>
      </w:tblPr>
      <w:tblGrid>
        <w:gridCol w:w="9458"/>
      </w:tblGrid>
      <w:tr>
        <w:tc>
          <w:tcPr>
            <w:tcW w:type="dxa" w:w="9458"/>
            <w:shd w:fill="EFF4FE" w:val="clear"/>
            <w:tcMar>
              <w:top w:type="dxa" w:w="200"/>
              <w:left w:type="dxa" w:w="280"/>
              <w:bottom w:type="dxa" w:w="220"/>
              <w:right w:type="dxa" w:w="280"/>
            </w:tcMar>
          </w:tcPr>
          <w:p>
            <w:pPr>
              <w:spacing w:after="60"/>
            </w:pPr>
            <w:r>
              <w:rPr>
                <w:rFonts w:ascii="Calibri" w:cs="Calibri" w:eastAsia="Calibri" w:hAnsi="Calibri"/>
                <w:b/>
                <w:bCs/>
                <w:color w:val="2563EB"/>
                <w:sz w:val="27"/>
                <w:szCs w:val="27"/>
              </w:rPr>
              <w:t xml:space="preserve">🔵 Business — Développer son pressing</w:t>
            </w:r>
          </w:p>
          <w:p>
            <w:pPr>
              <w:spacing w:after="100"/>
            </w:pPr>
            <w:r>
              <w:rPr>
                <w:rFonts w:ascii="Calibri" w:cs="Calibri" w:eastAsia="Calibri" w:hAnsi="Calibri"/>
                <w:b/>
                <w:bCs/>
                <w:color w:val="0F172A"/>
                <w:sz w:val="19"/>
                <w:szCs w:val="19"/>
              </w:rPr>
              <w:t xml:space="preserve">Cible : </w:t>
            </w:r>
            <w:r>
              <w:rPr>
                <w:rFonts w:ascii="Calibri" w:cs="Calibri" w:eastAsia="Calibri" w:hAnsi="Calibri"/>
                <w:color w:val="475569"/>
                <w:sz w:val="19"/>
                <w:szCs w:val="19"/>
              </w:rPr>
              <w:t xml:space="preserve">pressing établi, plusieurs employés, volume de commandes important.</w:t>
            </w:r>
          </w:p>
          <w:p>
            <w:r>
              <w:rPr>
                <w:rFonts w:ascii="Calibri" w:cs="Calibri" w:eastAsia="Calibri" w:hAnsi="Calibri"/>
                <w:i/>
                <w:iCs/>
                <w:color w:val="0F172A"/>
                <w:sz w:val="20"/>
                <w:szCs w:val="20"/>
              </w:rPr>
              <w:t xml:space="preserve">« Plus de contrôle, plus de visibilité et plus d'outils pour développer votre activité. »</w:t>
            </w:r>
          </w:p>
        </w:tc>
      </w:tr>
    </w:tbl>
    <w:p>
      <w:pPr>
        <w:spacing w:after="160"/>
      </w:pPr>
    </w:p>
    <w:tbl>
      <w:tblPr>
        <w:tblW w:type="dxa" w:w="9458"/>
        <w:tblBorders>
          <w:top w:val="single" w:color="7C3AED" w:sz="4"/>
          <w:left w:val="single" w:color="7C3AED" w:sz="4"/>
          <w:bottom w:val="single" w:color="7C3AED" w:sz="4"/>
          <w:right w:val="single" w:color="7C3AED" w:sz="4"/>
          <w:insideH w:val="none" w:color="FFFFFF" w:sz="0"/>
          <w:insideV w:val="none" w:color="FFFFFF" w:sz="0"/>
        </w:tblBorders>
      </w:tblPr>
      <w:tblGrid>
        <w:gridCol w:w="9458"/>
      </w:tblGrid>
      <w:tr>
        <w:tc>
          <w:tcPr>
            <w:tcW w:type="dxa" w:w="9458"/>
            <w:shd w:fill="F3E8FF" w:val="clear"/>
            <w:tcMar>
              <w:top w:type="dxa" w:w="200"/>
              <w:left w:type="dxa" w:w="280"/>
              <w:bottom w:type="dxa" w:w="220"/>
              <w:right w:type="dxa" w:w="280"/>
            </w:tcMar>
          </w:tcPr>
          <w:p>
            <w:pPr>
              <w:spacing w:after="60"/>
            </w:pPr>
            <w:r>
              <w:rPr>
                <w:rFonts w:ascii="Calibri" w:cs="Calibri" w:eastAsia="Calibri" w:hAnsi="Calibri"/>
                <w:b/>
                <w:bCs/>
                <w:color w:val="7C3AED"/>
                <w:sz w:val="27"/>
                <w:szCs w:val="27"/>
              </w:rPr>
              <w:t xml:space="preserve">🟣 Premium — Piloter plusieurs pressings</w:t>
            </w:r>
          </w:p>
          <w:p>
            <w:pPr>
              <w:spacing w:after="100"/>
            </w:pPr>
            <w:r>
              <w:rPr>
                <w:rFonts w:ascii="Calibri" w:cs="Calibri" w:eastAsia="Calibri" w:hAnsi="Calibri"/>
                <w:b/>
                <w:bCs/>
                <w:color w:val="0F172A"/>
                <w:sz w:val="19"/>
                <w:szCs w:val="19"/>
              </w:rPr>
              <w:t xml:space="preserve">Cible : </w:t>
            </w:r>
            <w:r>
              <w:rPr>
                <w:rFonts w:ascii="Calibri" w:cs="Calibri" w:eastAsia="Calibri" w:hAnsi="Calibri"/>
                <w:color w:val="475569"/>
                <w:sz w:val="19"/>
                <w:szCs w:val="19"/>
              </w:rPr>
              <w:t xml:space="preserve">propriétaires de plusieurs établissements, groupes de pressings, pilotage centralisé.</w:t>
            </w:r>
          </w:p>
          <w:p>
            <w:r>
              <w:rPr>
                <w:rFonts w:ascii="Calibri" w:cs="Calibri" w:eastAsia="Calibri" w:hAnsi="Calibri"/>
                <w:i/>
                <w:iCs/>
                <w:color w:val="0F172A"/>
                <w:sz w:val="20"/>
                <w:szCs w:val="20"/>
              </w:rPr>
              <w:t xml:space="preserve">« Une plateforme complète pour piloter votre réseau de pressings. »</w:t>
            </w:r>
          </w:p>
        </w:tc>
      </w:tr>
    </w:tbl>
    <w:p>
      <w:pPr>
        <w:spacing w:after="220"/>
      </w:pPr>
    </w:p>
    <w:p>
      <w:pPr>
        <w:spacing w:after="0"/>
      </w:pPr>
      <w:r>
        <w:rPr>
          <w:rFonts w:ascii="Calibri" w:cs="Calibri" w:eastAsia="Calibri" w:hAnsi="Calibri"/>
          <w:color w:val="475569"/>
          <w:sz w:val="21"/>
          <w:szCs w:val="21"/>
        </w:rPr>
        <w:t xml:space="preserve">Une quatrième catégorie existe en dehors de la grille publique : le Sur mesure, réservé aux besoins spécifiques (grands réseaux, fonctionnement particulier) et traité par devis.</w:t>
      </w:r>
    </w:p>
    <w:p>
      <w:r>
        <w:br w:type="page"/>
      </w:r>
    </w:p>
    <w:p>
      <w:pPr>
        <w:spacing w:after="40" w:before="0"/>
      </w:pPr>
      <w:r>
        <w:rPr>
          <w:rFonts w:ascii="Calibri" w:cs="Calibri" w:eastAsia="Calibri" w:hAnsi="Calibri"/>
          <w:b/>
          <w:bCs/>
          <w:color w:val="2563EB"/>
          <w:spacing w:val="20"/>
          <w:sz w:val="16"/>
          <w:szCs w:val="16"/>
        </w:rPr>
        <w:t xml:space="preserve">SECTION 3</w:t>
      </w:r>
    </w:p>
    <w:p>
      <w:pPr>
        <w:pStyle w:val="Heading1"/>
        <w:pBdr>
          <w:bottom w:val="single" w:color="2563EB" w:sz="8" w:space="6"/>
        </w:pBdr>
        <w:spacing w:after="200" w:before="480"/>
      </w:pPr>
      <w:r>
        <w:rPr>
          <w:rFonts w:ascii="Calibri" w:cs="Calibri" w:eastAsia="Calibri" w:hAnsi="Calibri"/>
          <w:b/>
          <w:bCs/>
          <w:color w:val="0F172A"/>
          <w:sz w:val="30"/>
          <w:szCs w:val="30"/>
        </w:rPr>
        <w:t xml:space="preserve">Grille tarifaire</w:t>
      </w:r>
    </w:p>
    <w:p>
      <w:pPr>
        <w:spacing w:after="140" w:line="300"/>
      </w:pPr>
      <w:r>
        <w:rPr>
          <w:rFonts w:ascii="Calibri" w:cs="Calibri" w:eastAsia="Calibri" w:hAnsi="Calibri"/>
          <w:color w:val="475569"/>
          <w:sz w:val="21"/>
          <w:szCs w:val="21"/>
        </w:rPr>
        <w:t xml:space="preserve">L'abonnement annuel correspond à 10 mois payés au lieu de 12, soit environ deux mois offerts.</w:t>
      </w:r>
    </w:p>
    <w:p>
      <w:pPr>
        <w:spacing w:after="120"/>
      </w:pPr>
    </w:p>
    <w:tbl>
      <w:tblPr>
        <w:tblW w:type="dxa" w:w="9458"/>
        <w:tblBorders>
          <w:top w:val="single" w:color="E2E8F0" w:sz="2"/>
          <w:left w:val="single" w:color="E2E8F0" w:sz="2"/>
          <w:bottom w:val="single" w:color="E2E8F0" w:sz="2"/>
          <w:right w:val="single" w:color="E2E8F0" w:sz="2"/>
          <w:insideH w:val="single" w:color="E2E8F0" w:sz="2"/>
          <w:insideV w:val="single" w:color="E2E8F0" w:sz="2"/>
        </w:tblBorders>
      </w:tblPr>
      <w:tblGrid>
        <w:gridCol w:w="3400"/>
        <w:gridCol w:w="2350"/>
        <w:gridCol w:w="2350"/>
        <w:gridCol w:w="2350"/>
      </w:tblGrid>
      <w:tr>
        <w:trPr>
          <w:tblHeader/>
        </w:trPr>
        <w:tc>
          <w:tcPr>
            <w:tcW w:type="dxa" w:w="3400"/>
            <w:shd w:fill="2563EB" w:val="clear"/>
            <w:tcMar>
              <w:top w:type="dxa" w:w="110"/>
              <w:left w:type="dxa" w:w="140"/>
              <w:bottom w:type="dxa" w:w="110"/>
              <w:right w:type="dxa" w:w="140"/>
            </w:tcMar>
            <w:vAlign w:val="center"/>
          </w:tcPr>
          <w:p>
            <w:pPr>
              <w:jc w:val="left"/>
            </w:pPr>
            <w:r>
              <w:rPr>
                <w:rFonts w:ascii="Calibri" w:cs="Calibri" w:eastAsia="Calibri" w:hAnsi="Calibri"/>
                <w:b/>
                <w:bCs/>
                <w:color w:val="FFFFFF"/>
                <w:sz w:val="18"/>
                <w:szCs w:val="18"/>
              </w:rPr>
              <w:t xml:space="preserve"/>
            </w:r>
          </w:p>
        </w:tc>
        <w:tc>
          <w:tcPr>
            <w:tcW w:type="dxa" w:w="23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Starter</w:t>
            </w:r>
          </w:p>
        </w:tc>
        <w:tc>
          <w:tcPr>
            <w:tcW w:type="dxa" w:w="23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Business</w:t>
            </w:r>
          </w:p>
        </w:tc>
        <w:tc>
          <w:tcPr>
            <w:tcW w:type="dxa" w:w="23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Premium</w:t>
            </w:r>
          </w:p>
        </w:tc>
      </w:tr>
      <w:tr>
        <w:tc>
          <w:tcPr>
            <w:tcW w:type="dxa" w:w="34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Ticket d'entrée</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100 000 F</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200 000 F</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350 000 F</w:t>
            </w:r>
          </w:p>
        </w:tc>
      </w:tr>
      <w:tr>
        <w:tc>
          <w:tcPr>
            <w:tcW w:type="dxa" w:w="34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Abonnement mensuel</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20 000 F/mois</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30 000 F/mois</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50 000 F/mois</w:t>
            </w:r>
          </w:p>
        </w:tc>
      </w:tr>
      <w:tr>
        <w:tc>
          <w:tcPr>
            <w:tcW w:type="dxa" w:w="34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Abonnement annuel</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200 000 F/an</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300 000 F/an</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500 000 F/an</w:t>
            </w:r>
          </w:p>
        </w:tc>
      </w:tr>
      <w:tr>
        <w:tc>
          <w:tcPr>
            <w:tcW w:type="dxa" w:w="34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Économie annuelle</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40 000 F</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60 000 F</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100 000 F</w:t>
            </w:r>
          </w:p>
        </w:tc>
      </w:tr>
      <w:tr>
        <w:tc>
          <w:tcPr>
            <w:tcW w:type="dxa" w:w="3400"/>
            <w:shd w:fill="FFFFFF" w:val="clear"/>
            <w:tcMar>
              <w:top w:type="dxa" w:w="90"/>
              <w:left w:type="dxa" w:w="140"/>
              <w:bottom w:type="dxa" w:w="90"/>
              <w:right w:type="dxa" w:w="140"/>
            </w:tcMar>
            <w:vAlign w:val="center"/>
          </w:tcPr>
          <w:p>
            <w:pPr>
              <w:jc w:val="left"/>
            </w:pPr>
            <w:r>
              <w:rPr>
                <w:rFonts w:ascii="Calibri" w:cs="Calibri" w:eastAsia="Calibri" w:hAnsi="Calibri"/>
                <w:b/>
                <w:bCs/>
                <w:color w:val="0F172A"/>
                <w:sz w:val="19"/>
                <w:szCs w:val="19"/>
              </w:rPr>
              <w:t xml:space="preserve">Coût 1ère année</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bCs/>
                <w:color w:val="1D4ED8"/>
                <w:sz w:val="19"/>
                <w:szCs w:val="19"/>
              </w:rPr>
              <w:t xml:space="preserve">300 000 F</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bCs/>
                <w:color w:val="1D4ED8"/>
                <w:sz w:val="19"/>
                <w:szCs w:val="19"/>
              </w:rPr>
              <w:t xml:space="preserve">500 000 F</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bCs/>
                <w:color w:val="1D4ED8"/>
                <w:sz w:val="19"/>
                <w:szCs w:val="19"/>
              </w:rPr>
              <w:t xml:space="preserve">850 000 F</w:t>
            </w:r>
          </w:p>
        </w:tc>
      </w:tr>
      <w:tr>
        <w:tc>
          <w:tcPr>
            <w:tcW w:type="dxa" w:w="34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Renouvellement annuel</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200 000 F</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300 000 F</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500 000 F</w:t>
            </w:r>
          </w:p>
        </w:tc>
      </w:tr>
    </w:tbl>
    <w:p>
      <w:pPr>
        <w:spacing w:after="220"/>
      </w:pPr>
    </w:p>
    <w:p>
      <w:pPr>
        <w:pStyle w:val="Heading2"/>
        <w:spacing w:after="140" w:before="320"/>
      </w:pPr>
      <w:r>
        <w:rPr>
          <w:rFonts w:ascii="Calibri" w:cs="Calibri" w:eastAsia="Calibri" w:hAnsi="Calibri"/>
          <w:b/>
          <w:bCs/>
          <w:color w:val="1D4ED8"/>
          <w:sz w:val="24"/>
          <w:szCs w:val="24"/>
        </w:rPr>
        <w:t xml:space="preserve">Progression entre formules</w:t>
      </w:r>
    </w:p>
    <w:p>
      <w:pPr>
        <w:pStyle w:val="ListParagraph"/>
        <w:numPr>
          <w:ilvl w:val="0"/>
          <w:numId w:val="2"/>
        </w:numPr>
        <w:spacing w:after="60"/>
      </w:pPr>
      <w:r>
        <w:rPr>
          <w:rFonts w:ascii="Calibri" w:cs="Calibri" w:eastAsia="Calibri" w:hAnsi="Calibri"/>
          <w:b/>
          <w:bCs/>
          <w:color w:val="0F172A"/>
          <w:sz w:val="21"/>
          <w:szCs w:val="21"/>
        </w:rPr>
        <w:t xml:space="preserve">Starter → Business — </w:t>
      </w:r>
      <w:r>
        <w:rPr>
          <w:rFonts w:ascii="Calibri" w:cs="Calibri" w:eastAsia="Calibri" w:hAnsi="Calibri"/>
          <w:color w:val="475569"/>
          <w:sz w:val="21"/>
          <w:szCs w:val="21"/>
        </w:rPr>
        <w:t xml:space="preserve">+ 100 000 F de ticket d'entrée, + 10 000 F/mois.</w:t>
      </w:r>
    </w:p>
    <w:p>
      <w:pPr>
        <w:pStyle w:val="ListParagraph"/>
        <w:numPr>
          <w:ilvl w:val="0"/>
          <w:numId w:val="2"/>
        </w:numPr>
        <w:spacing w:after="60"/>
      </w:pPr>
      <w:r>
        <w:rPr>
          <w:rFonts w:ascii="Calibri" w:cs="Calibri" w:eastAsia="Calibri" w:hAnsi="Calibri"/>
          <w:b/>
          <w:bCs/>
          <w:color w:val="0F172A"/>
          <w:sz w:val="21"/>
          <w:szCs w:val="21"/>
        </w:rPr>
        <w:t xml:space="preserve">Business → Premium — </w:t>
      </w:r>
      <w:r>
        <w:rPr>
          <w:rFonts w:ascii="Calibri" w:cs="Calibri" w:eastAsia="Calibri" w:hAnsi="Calibri"/>
          <w:color w:val="475569"/>
          <w:sz w:val="21"/>
          <w:szCs w:val="21"/>
        </w:rPr>
        <w:t xml:space="preserve">+ 150 000 F de ticket d'entrée, + 20 000 F/mois.</w:t>
      </w:r>
    </w:p>
    <w:p>
      <w:r>
        <w:br w:type="page"/>
      </w:r>
    </w:p>
    <w:p>
      <w:pPr>
        <w:spacing w:after="40" w:before="0"/>
      </w:pPr>
      <w:r>
        <w:rPr>
          <w:rFonts w:ascii="Calibri" w:cs="Calibri" w:eastAsia="Calibri" w:hAnsi="Calibri"/>
          <w:b/>
          <w:bCs/>
          <w:color w:val="2563EB"/>
          <w:spacing w:val="20"/>
          <w:sz w:val="16"/>
          <w:szCs w:val="16"/>
        </w:rPr>
        <w:t xml:space="preserve">SECTION 4</w:t>
      </w:r>
    </w:p>
    <w:p>
      <w:pPr>
        <w:pStyle w:val="Heading1"/>
        <w:pBdr>
          <w:bottom w:val="single" w:color="2563EB" w:sz="8" w:space="6"/>
        </w:pBdr>
        <w:spacing w:after="200" w:before="480"/>
      </w:pPr>
      <w:r>
        <w:rPr>
          <w:rFonts w:ascii="Calibri" w:cs="Calibri" w:eastAsia="Calibri" w:hAnsi="Calibri"/>
          <w:b/>
          <w:bCs/>
          <w:color w:val="0F172A"/>
          <w:sz w:val="30"/>
          <w:szCs w:val="30"/>
        </w:rPr>
        <w:t xml:space="preserve">Fonctionnalités incluses par formule</w:t>
      </w:r>
    </w:p>
    <w:p>
      <w:pPr>
        <w:spacing w:after="140" w:line="300"/>
      </w:pPr>
      <w:r>
        <w:rPr>
          <w:rFonts w:ascii="Calibri" w:cs="Calibri" w:eastAsia="Calibri" w:hAnsi="Calibri"/>
          <w:color w:val="475569"/>
          <w:sz w:val="21"/>
          <w:szCs w:val="21"/>
        </w:rPr>
        <w:t xml:space="preserve">Starter = gérer son pressing · Business = mieux piloter son pressing · Premium = piloter plusieurs pressings et bénéficier de l'écosystème complet.</w:t>
      </w:r>
    </w:p>
    <w:p>
      <w:pPr>
        <w:spacing w:after="100"/>
      </w:pPr>
    </w:p>
    <w:tbl>
      <w:tblPr>
        <w:tblW w:type="dxa" w:w="9458"/>
        <w:tblBorders>
          <w:top w:val="single" w:color="E2E8F0" w:sz="2"/>
          <w:left w:val="single" w:color="E2E8F0" w:sz="2"/>
          <w:bottom w:val="single" w:color="E2E8F0" w:sz="2"/>
          <w:right w:val="single" w:color="E2E8F0" w:sz="2"/>
          <w:insideH w:val="single" w:color="E2E8F0" w:sz="2"/>
          <w:insideV w:val="single" w:color="E2E8F0" w:sz="2"/>
        </w:tblBorders>
      </w:tblPr>
      <w:tblGrid>
        <w:gridCol w:w="5100"/>
        <w:gridCol w:w="1450"/>
        <w:gridCol w:w="1450"/>
        <w:gridCol w:w="1450"/>
      </w:tblGrid>
      <w:tr>
        <w:trPr>
          <w:tblHeader/>
        </w:trPr>
        <w:tc>
          <w:tcPr>
            <w:tcW w:type="dxa" w:w="5100"/>
            <w:shd w:fill="2563EB" w:val="clear"/>
            <w:tcMar>
              <w:top w:type="dxa" w:w="110"/>
              <w:left w:type="dxa" w:w="140"/>
              <w:bottom w:type="dxa" w:w="110"/>
              <w:right w:type="dxa" w:w="140"/>
            </w:tcMar>
            <w:vAlign w:val="center"/>
          </w:tcPr>
          <w:p>
            <w:pPr>
              <w:jc w:val="left"/>
            </w:pPr>
            <w:r>
              <w:rPr>
                <w:rFonts w:ascii="Calibri" w:cs="Calibri" w:eastAsia="Calibri" w:hAnsi="Calibri"/>
                <w:b/>
                <w:bCs/>
                <w:color w:val="FFFFFF"/>
                <w:sz w:val="18"/>
                <w:szCs w:val="18"/>
              </w:rPr>
              <w:t xml:space="preserve">Fonctionnalité</w:t>
            </w:r>
          </w:p>
        </w:tc>
        <w:tc>
          <w:tcPr>
            <w:tcW w:type="dxa" w:w="14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Starter</w:t>
            </w:r>
          </w:p>
        </w:tc>
        <w:tc>
          <w:tcPr>
            <w:tcW w:type="dxa" w:w="14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Business</w:t>
            </w:r>
          </w:p>
        </w:tc>
        <w:tc>
          <w:tcPr>
            <w:tcW w:type="dxa" w:w="14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Premium</w:t>
            </w:r>
          </w:p>
        </w:tc>
      </w:tr>
      <w:tr>
        <w:tc>
          <w:tcPr>
            <w:tcW w:type="dxa" w:w="51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Gestion d'un pressing (services, tarifs, horaires)</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Application client (commandes, statut, notifications)</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Gestion des commandes &amp; signalements</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Gestion des clients</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Gestion de l'équipe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Tableau de bord de base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Recherche &amp; filtres de base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KPIs et dashboard avancés</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Rapports d'activité</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Analytics avancés</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Import de données clients</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Gestion avancée de l'équipe (rôles multiples)</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Multi-pressing</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Groupe de pressings</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Dashboard mutualisé</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Administration multi-établissements</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8FAFC"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r>
        <w:tc>
          <w:tcPr>
            <w:tcW w:type="dxa" w:w="51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Analytics multi-pressings</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color w:val="94A3B8"/>
                <w:sz w:val="19"/>
                <w:szCs w:val="19"/>
              </w:rPr>
              <w:t xml:space="preserv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bCs/>
                <w:color w:val="10B981"/>
                <w:sz w:val="20"/>
                <w:szCs w:val="20"/>
              </w:rPr>
              <w:t xml:space="preserve">✓</w:t>
            </w:r>
          </w:p>
        </w:tc>
      </w:tr>
    </w:tbl>
    <w:p>
      <w:pPr>
        <w:spacing w:after="200"/>
      </w:pPr>
    </w:p>
    <w:tbl>
      <w:tblPr>
        <w:tblW w:type="dxa" w:w="9458"/>
        <w:tblBorders>
          <w:top w:val="single" w:color="E2E8F0" w:sz="2"/>
          <w:left w:val="single" w:color="E2E8F0" w:sz="2"/>
          <w:bottom w:val="single" w:color="E2E8F0" w:sz="2"/>
          <w:right w:val="single" w:color="E2E8F0" w:sz="2"/>
          <w:insideH w:val="single" w:color="E2E8F0" w:sz="2"/>
          <w:insideV w:val="single" w:color="E2E8F0" w:sz="2"/>
        </w:tblBorders>
      </w:tblPr>
      <w:tblGrid>
        <w:gridCol w:w="5100"/>
        <w:gridCol w:w="1450"/>
        <w:gridCol w:w="1450"/>
        <w:gridCol w:w="1450"/>
      </w:tblGrid>
      <w:tr>
        <w:trPr>
          <w:tblHeader/>
        </w:trPr>
        <w:tc>
          <w:tcPr>
            <w:tcW w:type="dxa" w:w="5100"/>
            <w:shd w:fill="0F172A" w:val="clear"/>
            <w:tcMar>
              <w:top w:type="dxa" w:w="110"/>
              <w:left w:type="dxa" w:w="140"/>
              <w:bottom w:type="dxa" w:w="110"/>
              <w:right w:type="dxa" w:w="140"/>
            </w:tcMar>
            <w:vAlign w:val="center"/>
          </w:tcPr>
          <w:p>
            <w:pPr>
              <w:jc w:val="left"/>
            </w:pPr>
            <w:r>
              <w:rPr>
                <w:rFonts w:ascii="Calibri" w:cs="Calibri" w:eastAsia="Calibri" w:hAnsi="Calibri"/>
                <w:b/>
                <w:bCs/>
                <w:color w:val="FFFFFF"/>
                <w:sz w:val="18"/>
                <w:szCs w:val="18"/>
              </w:rPr>
              <w:t xml:space="preserve">Support</w:t>
            </w:r>
          </w:p>
        </w:tc>
        <w:tc>
          <w:tcPr>
            <w:tcW w:type="dxa" w:w="1450"/>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Starter</w:t>
            </w:r>
          </w:p>
        </w:tc>
        <w:tc>
          <w:tcPr>
            <w:tcW w:type="dxa" w:w="1450"/>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Business</w:t>
            </w:r>
          </w:p>
        </w:tc>
        <w:tc>
          <w:tcPr>
            <w:tcW w:type="dxa" w:w="1450"/>
            <w:shd w:fill="0F172A"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Premium</w:t>
            </w:r>
          </w:p>
        </w:tc>
      </w:tr>
      <w:tr>
        <w:tc>
          <w:tcPr>
            <w:tcW w:type="dxa" w:w="51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Niveau de support</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Standard</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Prioritaire</w:t>
            </w:r>
          </w:p>
        </w:tc>
        <w:tc>
          <w:tcPr>
            <w:tcW w:type="dxa" w:w="14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Premium</w:t>
            </w:r>
          </w:p>
        </w:tc>
      </w:tr>
    </w:tbl>
    <w:p>
      <w:r>
        <w:br w:type="page"/>
      </w:r>
    </w:p>
    <w:p>
      <w:pPr>
        <w:spacing w:after="40" w:before="0"/>
      </w:pPr>
      <w:r>
        <w:rPr>
          <w:rFonts w:ascii="Calibri" w:cs="Calibri" w:eastAsia="Calibri" w:hAnsi="Calibri"/>
          <w:b/>
          <w:bCs/>
          <w:color w:val="2563EB"/>
          <w:spacing w:val="20"/>
          <w:sz w:val="16"/>
          <w:szCs w:val="16"/>
        </w:rPr>
        <w:t xml:space="preserve">SECTION 5</w:t>
      </w:r>
    </w:p>
    <w:p>
      <w:pPr>
        <w:pStyle w:val="Heading1"/>
        <w:pBdr>
          <w:bottom w:val="single" w:color="2563EB" w:sz="8" w:space="6"/>
        </w:pBdr>
        <w:spacing w:after="200" w:before="480"/>
      </w:pPr>
      <w:r>
        <w:rPr>
          <w:rFonts w:ascii="Calibri" w:cs="Calibri" w:eastAsia="Calibri" w:hAnsi="Calibri"/>
          <w:b/>
          <w:bCs/>
          <w:color w:val="0F172A"/>
          <w:sz w:val="30"/>
          <w:szCs w:val="30"/>
        </w:rPr>
        <w:t xml:space="preserve">Limites de chaque formule</w:t>
      </w:r>
    </w:p>
    <w:p>
      <w:pPr>
        <w:spacing w:after="140" w:line="300"/>
      </w:pPr>
      <w:r>
        <w:rPr>
          <w:rFonts w:ascii="Calibri" w:cs="Calibri" w:eastAsia="Calibri" w:hAnsi="Calibri"/>
          <w:color w:val="475569"/>
          <w:sz w:val="21"/>
          <w:szCs w:val="21"/>
        </w:rPr>
        <w:t xml:space="preserve">Les limites portent sur les ressources utilisées, jamais sur les fonctions essentielles — Starter reste réellement exploitable au quotidien.</w:t>
      </w:r>
    </w:p>
    <w:p>
      <w:pPr>
        <w:spacing w:after="100"/>
      </w:pPr>
    </w:p>
    <w:tbl>
      <w:tblPr>
        <w:tblW w:type="dxa" w:w="9458"/>
        <w:tblBorders>
          <w:top w:val="single" w:color="E2E8F0" w:sz="2"/>
          <w:left w:val="single" w:color="E2E8F0" w:sz="2"/>
          <w:bottom w:val="single" w:color="E2E8F0" w:sz="2"/>
          <w:right w:val="single" w:color="E2E8F0" w:sz="2"/>
          <w:insideH w:val="single" w:color="E2E8F0" w:sz="2"/>
          <w:insideV w:val="single" w:color="E2E8F0" w:sz="2"/>
        </w:tblBorders>
      </w:tblPr>
      <w:tblGrid>
        <w:gridCol w:w="3400"/>
        <w:gridCol w:w="2350"/>
        <w:gridCol w:w="2350"/>
        <w:gridCol w:w="2350"/>
      </w:tblGrid>
      <w:tr>
        <w:trPr>
          <w:tblHeader/>
        </w:trPr>
        <w:tc>
          <w:tcPr>
            <w:tcW w:type="dxa" w:w="3400"/>
            <w:shd w:fill="2563EB" w:val="clear"/>
            <w:tcMar>
              <w:top w:type="dxa" w:w="110"/>
              <w:left w:type="dxa" w:w="140"/>
              <w:bottom w:type="dxa" w:w="110"/>
              <w:right w:type="dxa" w:w="140"/>
            </w:tcMar>
            <w:vAlign w:val="center"/>
          </w:tcPr>
          <w:p>
            <w:pPr>
              <w:jc w:val="left"/>
            </w:pPr>
            <w:r>
              <w:rPr>
                <w:rFonts w:ascii="Calibri" w:cs="Calibri" w:eastAsia="Calibri" w:hAnsi="Calibri"/>
                <w:b/>
                <w:bCs/>
                <w:color w:val="FFFFFF"/>
                <w:sz w:val="18"/>
                <w:szCs w:val="18"/>
              </w:rPr>
              <w:t xml:space="preserve">Ressource</w:t>
            </w:r>
          </w:p>
        </w:tc>
        <w:tc>
          <w:tcPr>
            <w:tcW w:type="dxa" w:w="23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Starter</w:t>
            </w:r>
          </w:p>
        </w:tc>
        <w:tc>
          <w:tcPr>
            <w:tcW w:type="dxa" w:w="23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Business</w:t>
            </w:r>
          </w:p>
        </w:tc>
        <w:tc>
          <w:tcPr>
            <w:tcW w:type="dxa" w:w="23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Premium</w:t>
            </w:r>
          </w:p>
        </w:tc>
      </w:tr>
      <w:tr>
        <w:tc>
          <w:tcPr>
            <w:tcW w:type="dxa" w:w="34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Pressings</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1</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1</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Illimité *</w:t>
            </w:r>
          </w:p>
        </w:tc>
      </w:tr>
      <w:tr>
        <w:tc>
          <w:tcPr>
            <w:tcW w:type="dxa" w:w="34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Établissements</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1</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1</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Illimité *</w:t>
            </w:r>
          </w:p>
        </w:tc>
      </w:tr>
      <w:tr>
        <w:tc>
          <w:tcPr>
            <w:tcW w:type="dxa" w:w="34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Employés</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3</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10</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Illimité *</w:t>
            </w:r>
          </w:p>
        </w:tc>
      </w:tr>
      <w:tr>
        <w:tc>
          <w:tcPr>
            <w:tcW w:type="dxa" w:w="34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Administrateurs</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1</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3</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Illimité *</w:t>
            </w:r>
          </w:p>
        </w:tc>
      </w:tr>
      <w:tr>
        <w:tc>
          <w:tcPr>
            <w:tcW w:type="dxa" w:w="34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Clients</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500</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2 000</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Illimité *</w:t>
            </w:r>
          </w:p>
        </w:tc>
      </w:tr>
      <w:tr>
        <w:tc>
          <w:tcPr>
            <w:tcW w:type="dxa" w:w="34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Commandes / mois</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1 500</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5 000</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Illimité *</w:t>
            </w:r>
          </w:p>
        </w:tc>
      </w:tr>
      <w:tr>
        <w:tc>
          <w:tcPr>
            <w:tcW w:type="dxa" w:w="34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Services / tarifs</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20</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50</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Illimité</w:t>
            </w:r>
          </w:p>
        </w:tc>
      </w:tr>
      <w:tr>
        <w:tc>
          <w:tcPr>
            <w:tcW w:type="dxa" w:w="34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Variantes de services</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50</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150</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Illimité</w:t>
            </w:r>
          </w:p>
        </w:tc>
      </w:tr>
      <w:tr>
        <w:tc>
          <w:tcPr>
            <w:tcW w:type="dxa" w:w="34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Historique conservé</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12 mois</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24 mois</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Illimité</w:t>
            </w:r>
          </w:p>
        </w:tc>
      </w:tr>
      <w:tr>
        <w:tc>
          <w:tcPr>
            <w:tcW w:type="dxa" w:w="34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Import de clients</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r>
        <w:tc>
          <w:tcPr>
            <w:tcW w:type="dxa" w:w="34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Multi-pressing</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r>
        <w:tc>
          <w:tcPr>
            <w:tcW w:type="dxa" w:w="34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Dashboard mutualisé</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bl>
    <w:p>
      <w:pPr>
        <w:spacing w:after="160"/>
      </w:pPr>
    </w:p>
    <w:p>
      <w:pPr>
        <w:spacing w:after="100"/>
      </w:pPr>
      <w:r>
        <w:rPr>
          <w:rFonts w:ascii="Calibri" w:cs="Calibri" w:eastAsia="Calibri" w:hAnsi="Calibri"/>
          <w:i/>
          <w:iCs/>
          <w:color w:val="94A3B8"/>
          <w:sz w:val="18"/>
          <w:szCs w:val="18"/>
        </w:rPr>
        <w:t xml:space="preserve">* Dans la limite d'une utilisation normale du service et des capacités techniques de l'infrastructure PressLink.</w:t>
      </w:r>
    </w:p>
    <w:p>
      <w:r>
        <w:br w:type="page"/>
      </w:r>
    </w:p>
    <w:p>
      <w:pPr>
        <w:spacing w:after="40" w:before="0"/>
      </w:pPr>
      <w:r>
        <w:rPr>
          <w:rFonts w:ascii="Calibri" w:cs="Calibri" w:eastAsia="Calibri" w:hAnsi="Calibri"/>
          <w:b/>
          <w:bCs/>
          <w:color w:val="2563EB"/>
          <w:spacing w:val="20"/>
          <w:sz w:val="16"/>
          <w:szCs w:val="16"/>
        </w:rPr>
        <w:t xml:space="preserve">SECTION 6</w:t>
      </w:r>
    </w:p>
    <w:p>
      <w:pPr>
        <w:pStyle w:val="Heading1"/>
        <w:pBdr>
          <w:bottom w:val="single" w:color="2563EB" w:sz="8" w:space="6"/>
        </w:pBdr>
        <w:spacing w:after="200" w:before="480"/>
      </w:pPr>
      <w:r>
        <w:rPr>
          <w:rFonts w:ascii="Calibri" w:cs="Calibri" w:eastAsia="Calibri" w:hAnsi="Calibri"/>
          <w:b/>
          <w:bCs/>
          <w:color w:val="0F172A"/>
          <w:sz w:val="30"/>
          <w:szCs w:val="30"/>
        </w:rPr>
        <w:t xml:space="preserve">Ce que comprend l'installation</w:t>
      </w:r>
    </w:p>
    <w:p>
      <w:pPr>
        <w:pStyle w:val="Heading2"/>
        <w:spacing w:after="140" w:before="320"/>
      </w:pPr>
      <w:r>
        <w:rPr>
          <w:rFonts w:ascii="Calibri" w:cs="Calibri" w:eastAsia="Calibri" w:hAnsi="Calibri"/>
          <w:b/>
          <w:bCs/>
          <w:color w:val="1D4ED8"/>
          <w:sz w:val="24"/>
          <w:szCs w:val="24"/>
        </w:rPr>
        <w:t xml:space="preserve">🟢 Starter — 100 000 FCFA</w:t>
      </w:r>
    </w:p>
    <w:p>
      <w:pPr>
        <w:pStyle w:val="ListParagraph"/>
        <w:numPr>
          <w:ilvl w:val="0"/>
          <w:numId w:val="2"/>
        </w:numPr>
        <w:spacing w:after="60"/>
      </w:pPr>
      <w:r>
        <w:rPr>
          <w:rFonts w:ascii="Calibri" w:cs="Calibri" w:eastAsia="Calibri" w:hAnsi="Calibri"/>
          <w:color w:val="475569"/>
          <w:sz w:val="21"/>
          <w:szCs w:val="21"/>
        </w:rPr>
        <w:t xml:space="preserve">Création de l'espace du pressing (informations, horaires, logo)</w:t>
      </w:r>
    </w:p>
    <w:p>
      <w:pPr>
        <w:pStyle w:val="ListParagraph"/>
        <w:numPr>
          <w:ilvl w:val="0"/>
          <w:numId w:val="2"/>
        </w:numPr>
        <w:spacing w:after="60"/>
      </w:pPr>
      <w:r>
        <w:rPr>
          <w:rFonts w:ascii="Calibri" w:cs="Calibri" w:eastAsia="Calibri" w:hAnsi="Calibri"/>
          <w:color w:val="475569"/>
          <w:sz w:val="21"/>
          <w:szCs w:val="21"/>
        </w:rPr>
        <w:t xml:space="preserve">Configuration des services, tarifs et variantes</w:t>
      </w:r>
    </w:p>
    <w:p>
      <w:pPr>
        <w:pStyle w:val="ListParagraph"/>
        <w:numPr>
          <w:ilvl w:val="0"/>
          <w:numId w:val="2"/>
        </w:numPr>
        <w:spacing w:after="60"/>
      </w:pPr>
      <w:r>
        <w:rPr>
          <w:rFonts w:ascii="Calibri" w:cs="Calibri" w:eastAsia="Calibri" w:hAnsi="Calibri"/>
          <w:color w:val="475569"/>
          <w:sz w:val="21"/>
          <w:szCs w:val="21"/>
        </w:rPr>
        <w:t xml:space="preserve">Création des comptes administrateur et employés</w:t>
      </w:r>
    </w:p>
    <w:p>
      <w:pPr>
        <w:pStyle w:val="ListParagraph"/>
        <w:numPr>
          <w:ilvl w:val="0"/>
          <w:numId w:val="2"/>
        </w:numPr>
        <w:spacing w:after="60"/>
      </w:pPr>
      <w:r>
        <w:rPr>
          <w:rFonts w:ascii="Calibri" w:cs="Calibri" w:eastAsia="Calibri" w:hAnsi="Calibri"/>
          <w:color w:val="475569"/>
          <w:sz w:val="21"/>
          <w:szCs w:val="21"/>
        </w:rPr>
        <w:t xml:space="preserve">Installation et configuration de l'application</w:t>
      </w:r>
    </w:p>
    <w:p>
      <w:pPr>
        <w:pStyle w:val="ListParagraph"/>
        <w:numPr>
          <w:ilvl w:val="0"/>
          <w:numId w:val="2"/>
        </w:numPr>
        <w:spacing w:after="60"/>
      </w:pPr>
      <w:r>
        <w:rPr>
          <w:rFonts w:ascii="Calibri" w:cs="Calibri" w:eastAsia="Calibri" w:hAnsi="Calibri"/>
          <w:color w:val="475569"/>
          <w:sz w:val="21"/>
          <w:szCs w:val="21"/>
        </w:rPr>
        <w:t xml:space="preserve">Configuration initiale des données de démarrage</w:t>
      </w:r>
    </w:p>
    <w:p>
      <w:pPr>
        <w:pStyle w:val="ListParagraph"/>
        <w:numPr>
          <w:ilvl w:val="0"/>
          <w:numId w:val="2"/>
        </w:numPr>
        <w:spacing w:after="60"/>
      </w:pPr>
      <w:r>
        <w:rPr>
          <w:rFonts w:ascii="Calibri" w:cs="Calibri" w:eastAsia="Calibri" w:hAnsi="Calibri"/>
          <w:color w:val="475569"/>
          <w:sz w:val="21"/>
          <w:szCs w:val="21"/>
        </w:rPr>
        <w:t xml:space="preserve">Formation de l'équipe (commandes, statuts, notifications, clients, signalements)</w:t>
      </w:r>
    </w:p>
    <w:p>
      <w:pPr>
        <w:pStyle w:val="ListParagraph"/>
        <w:numPr>
          <w:ilvl w:val="0"/>
          <w:numId w:val="2"/>
        </w:numPr>
        <w:spacing w:after="60"/>
      </w:pPr>
      <w:r>
        <w:rPr>
          <w:rFonts w:ascii="Calibri" w:cs="Calibri" w:eastAsia="Calibri" w:hAnsi="Calibri"/>
          <w:color w:val="475569"/>
          <w:sz w:val="21"/>
          <w:szCs w:val="21"/>
        </w:rPr>
        <w:t xml:space="preserve">Tests de mise en production et vérification du parcours client</w:t>
      </w:r>
    </w:p>
    <w:p>
      <w:pPr>
        <w:pStyle w:val="ListParagraph"/>
        <w:numPr>
          <w:ilvl w:val="0"/>
          <w:numId w:val="2"/>
        </w:numPr>
        <w:spacing w:after="60"/>
      </w:pPr>
      <w:r>
        <w:rPr>
          <w:rFonts w:ascii="Calibri" w:cs="Calibri" w:eastAsia="Calibri" w:hAnsi="Calibri"/>
          <w:color w:val="475569"/>
          <w:sz w:val="21"/>
          <w:szCs w:val="21"/>
        </w:rPr>
        <w:t xml:space="preserve">Accompagnement au démarrage</w:t>
      </w:r>
    </w:p>
    <w:p>
      <w:pPr>
        <w:spacing w:after="120"/>
      </w:pPr>
    </w:p>
    <w:p>
      <w:pPr>
        <w:pStyle w:val="Heading2"/>
        <w:spacing w:after="140" w:before="320"/>
      </w:pPr>
      <w:r>
        <w:rPr>
          <w:rFonts w:ascii="Calibri" w:cs="Calibri" w:eastAsia="Calibri" w:hAnsi="Calibri"/>
          <w:b/>
          <w:bCs/>
          <w:color w:val="1D4ED8"/>
          <w:sz w:val="24"/>
          <w:szCs w:val="24"/>
        </w:rPr>
        <w:t xml:space="preserve">🔵 Business — 200 000 FCFA (tout le Starter, plus)</w:t>
      </w:r>
    </w:p>
    <w:p>
      <w:pPr>
        <w:pStyle w:val="ListParagraph"/>
        <w:numPr>
          <w:ilvl w:val="0"/>
          <w:numId w:val="2"/>
        </w:numPr>
        <w:spacing w:after="60"/>
      </w:pPr>
      <w:r>
        <w:rPr>
          <w:rFonts w:ascii="Calibri" w:cs="Calibri" w:eastAsia="Calibri" w:hAnsi="Calibri"/>
          <w:color w:val="475569"/>
          <w:sz w:val="21"/>
          <w:szCs w:val="21"/>
        </w:rPr>
        <w:t xml:space="preserve">Configuration avancée et paramétrage de plusieurs responsables</w:t>
      </w:r>
    </w:p>
    <w:p>
      <w:pPr>
        <w:pStyle w:val="ListParagraph"/>
        <w:numPr>
          <w:ilvl w:val="0"/>
          <w:numId w:val="2"/>
        </w:numPr>
        <w:spacing w:after="60"/>
      </w:pPr>
      <w:r>
        <w:rPr>
          <w:rFonts w:ascii="Calibri" w:cs="Calibri" w:eastAsia="Calibri" w:hAnsi="Calibri"/>
          <w:color w:val="475569"/>
          <w:sz w:val="21"/>
          <w:szCs w:val="21"/>
        </w:rPr>
        <w:t xml:space="preserve">Import initial des clients existants (nettoyage, transformation, vérification)</w:t>
      </w:r>
    </w:p>
    <w:p>
      <w:pPr>
        <w:pStyle w:val="ListParagraph"/>
        <w:numPr>
          <w:ilvl w:val="0"/>
          <w:numId w:val="2"/>
        </w:numPr>
        <w:spacing w:after="60"/>
      </w:pPr>
      <w:r>
        <w:rPr>
          <w:rFonts w:ascii="Calibri" w:cs="Calibri" w:eastAsia="Calibri" w:hAnsi="Calibri"/>
          <w:color w:val="475569"/>
          <w:sz w:val="21"/>
          <w:szCs w:val="21"/>
        </w:rPr>
        <w:t xml:space="preserve">Formation approfondie administrateur et employés</w:t>
      </w:r>
    </w:p>
    <w:p>
      <w:pPr>
        <w:pStyle w:val="ListParagraph"/>
        <w:numPr>
          <w:ilvl w:val="0"/>
          <w:numId w:val="2"/>
        </w:numPr>
        <w:spacing w:after="60"/>
      </w:pPr>
      <w:r>
        <w:rPr>
          <w:rFonts w:ascii="Calibri" w:cs="Calibri" w:eastAsia="Calibri" w:hAnsi="Calibri"/>
          <w:color w:val="475569"/>
          <w:sz w:val="21"/>
          <w:szCs w:val="21"/>
        </w:rPr>
        <w:t xml:space="preserve">Mise en place initiale des tableaux de bord et indicateurs</w:t>
      </w:r>
    </w:p>
    <w:p>
      <w:pPr>
        <w:pStyle w:val="ListParagraph"/>
        <w:numPr>
          <w:ilvl w:val="0"/>
          <w:numId w:val="2"/>
        </w:numPr>
        <w:spacing w:after="60"/>
      </w:pPr>
      <w:r>
        <w:rPr>
          <w:rFonts w:ascii="Calibri" w:cs="Calibri" w:eastAsia="Calibri" w:hAnsi="Calibri"/>
          <w:color w:val="475569"/>
          <w:sz w:val="21"/>
          <w:szCs w:val="21"/>
        </w:rPr>
        <w:t xml:space="preserve">Accompagnement renforcé au lancement</w:t>
      </w:r>
    </w:p>
    <w:p>
      <w:pPr>
        <w:spacing w:after="120"/>
      </w:pPr>
    </w:p>
    <w:p>
      <w:pPr>
        <w:pStyle w:val="Heading2"/>
        <w:spacing w:after="140" w:before="320"/>
      </w:pPr>
      <w:r>
        <w:rPr>
          <w:rFonts w:ascii="Calibri" w:cs="Calibri" w:eastAsia="Calibri" w:hAnsi="Calibri"/>
          <w:b/>
          <w:bCs/>
          <w:color w:val="1D4ED8"/>
          <w:sz w:val="24"/>
          <w:szCs w:val="24"/>
        </w:rPr>
        <w:t xml:space="preserve">🟣 Premium — 350 000 FCFA (tout le Business, plus)</w:t>
      </w:r>
    </w:p>
    <w:p>
      <w:pPr>
        <w:pStyle w:val="ListParagraph"/>
        <w:numPr>
          <w:ilvl w:val="0"/>
          <w:numId w:val="2"/>
        </w:numPr>
        <w:spacing w:after="60"/>
      </w:pPr>
      <w:r>
        <w:rPr>
          <w:rFonts w:ascii="Calibri" w:cs="Calibri" w:eastAsia="Calibri" w:hAnsi="Calibri"/>
          <w:color w:val="475569"/>
          <w:sz w:val="21"/>
          <w:szCs w:val="21"/>
        </w:rPr>
        <w:t xml:space="preserve">Déploiement multi-pressing et configuration des établissements</w:t>
      </w:r>
    </w:p>
    <w:p>
      <w:pPr>
        <w:pStyle w:val="ListParagraph"/>
        <w:numPr>
          <w:ilvl w:val="0"/>
          <w:numId w:val="2"/>
        </w:numPr>
        <w:spacing w:after="60"/>
      </w:pPr>
      <w:r>
        <w:rPr>
          <w:rFonts w:ascii="Calibri" w:cs="Calibri" w:eastAsia="Calibri" w:hAnsi="Calibri"/>
          <w:color w:val="475569"/>
          <w:sz w:val="21"/>
          <w:szCs w:val="21"/>
        </w:rPr>
        <w:t xml:space="preserve">Mise en place du groupe de pressings et du dashboard mutualisé</w:t>
      </w:r>
    </w:p>
    <w:p>
      <w:pPr>
        <w:pStyle w:val="ListParagraph"/>
        <w:numPr>
          <w:ilvl w:val="0"/>
          <w:numId w:val="2"/>
        </w:numPr>
        <w:spacing w:after="60"/>
      </w:pPr>
      <w:r>
        <w:rPr>
          <w:rFonts w:ascii="Calibri" w:cs="Calibri" w:eastAsia="Calibri" w:hAnsi="Calibri"/>
          <w:color w:val="475569"/>
          <w:sz w:val="21"/>
          <w:szCs w:val="21"/>
        </w:rPr>
        <w:t xml:space="preserve">Configuration des administrateurs, responsables et permissions</w:t>
      </w:r>
    </w:p>
    <w:p>
      <w:pPr>
        <w:pStyle w:val="ListParagraph"/>
        <w:numPr>
          <w:ilvl w:val="0"/>
          <w:numId w:val="2"/>
        </w:numPr>
        <w:spacing w:after="60"/>
      </w:pPr>
      <w:r>
        <w:rPr>
          <w:rFonts w:ascii="Calibri" w:cs="Calibri" w:eastAsia="Calibri" w:hAnsi="Calibri"/>
          <w:color w:val="475569"/>
          <w:sz w:val="21"/>
          <w:szCs w:val="21"/>
        </w:rPr>
        <w:t xml:space="preserve">Import de données plus important</w:t>
      </w:r>
    </w:p>
    <w:p>
      <w:pPr>
        <w:pStyle w:val="ListParagraph"/>
        <w:numPr>
          <w:ilvl w:val="0"/>
          <w:numId w:val="2"/>
        </w:numPr>
        <w:spacing w:after="60"/>
      </w:pPr>
      <w:r>
        <w:rPr>
          <w:rFonts w:ascii="Calibri" w:cs="Calibri" w:eastAsia="Calibri" w:hAnsi="Calibri"/>
          <w:color w:val="475569"/>
          <w:sz w:val="21"/>
          <w:szCs w:val="21"/>
        </w:rPr>
        <w:t xml:space="preserve">Formation des responsables (gestion multi-pressing, dashboard global)</w:t>
      </w:r>
    </w:p>
    <w:p>
      <w:pPr>
        <w:pStyle w:val="ListParagraph"/>
        <w:numPr>
          <w:ilvl w:val="0"/>
          <w:numId w:val="2"/>
        </w:numPr>
        <w:spacing w:after="60"/>
      </w:pPr>
      <w:r>
        <w:rPr>
          <w:rFonts w:ascii="Calibri" w:cs="Calibri" w:eastAsia="Calibri" w:hAnsi="Calibri"/>
          <w:color w:val="475569"/>
          <w:sz w:val="21"/>
          <w:szCs w:val="21"/>
        </w:rPr>
        <w:t xml:space="preserve">Accompagnement renforcé au lancement de chaque établissement</w:t>
      </w:r>
    </w:p>
    <w:p>
      <w:pPr>
        <w:spacing w:after="200"/>
      </w:pPr>
    </w:p>
    <w:p>
      <w:pPr>
        <w:pStyle w:val="Heading2"/>
        <w:spacing w:after="140" w:before="320"/>
      </w:pPr>
      <w:r>
        <w:rPr>
          <w:rFonts w:ascii="Calibri" w:cs="Calibri" w:eastAsia="Calibri" w:hAnsi="Calibri"/>
          <w:b/>
          <w:bCs/>
          <w:color w:val="1D4ED8"/>
          <w:sz w:val="24"/>
          <w:szCs w:val="24"/>
        </w:rPr>
        <w:t xml:space="preserve">Processus standard d'onboarding</w:t>
      </w:r>
    </w:p>
    <w:p>
      <w:pPr>
        <w:spacing w:after="140" w:line="300"/>
      </w:pPr>
      <w:r>
        <w:rPr>
          <w:rFonts w:ascii="Calibri" w:cs="Calibri" w:eastAsia="Calibri" w:hAnsi="Calibri"/>
          <w:color w:val="475569"/>
          <w:sz w:val="21"/>
          <w:szCs w:val="21"/>
        </w:rPr>
        <w:t xml:space="preserve">Collecte des informations → Création de l'espace → Configuration du pressing → Configuration des services/tarifs → Création des utilisateurs → Configuration de l'application → Tests → Formation → Mise en production → Accompagnement au démarrage.</w:t>
      </w:r>
    </w:p>
    <w:p>
      <w:pPr>
        <w:spacing w:after="140"/>
      </w:pPr>
    </w:p>
    <w:p>
      <w:pPr>
        <w:pStyle w:val="Heading2"/>
        <w:spacing w:after="140" w:before="320"/>
      </w:pPr>
      <w:r>
        <w:rPr>
          <w:rFonts w:ascii="Calibri" w:cs="Calibri" w:eastAsia="Calibri" w:hAnsi="Calibri"/>
          <w:b/>
          <w:bCs/>
          <w:color w:val="1D4ED8"/>
          <w:sz w:val="24"/>
          <w:szCs w:val="24"/>
        </w:rPr>
        <w:t xml:space="preserve">Non compris dans l'installation</w:t>
      </w:r>
    </w:p>
    <w:p>
      <w:pPr>
        <w:spacing w:after="140" w:line="300"/>
      </w:pPr>
      <w:r>
        <w:rPr>
          <w:rFonts w:ascii="Calibri" w:cs="Calibri" w:eastAsia="Calibri" w:hAnsi="Calibri"/>
          <w:color w:val="475569"/>
          <w:sz w:val="21"/>
          <w:szCs w:val="21"/>
        </w:rPr>
        <w:t xml:space="preserve">Développement de fonctionnalité personnalisée, modification spécifique pour un seul client, migration complexe nécessitant un traitement manuel important, intégration d'un logiciel tiers, SMS/WhatsApp payants, matériel informatique, connexion Internet — voir Section 8.</w:t>
      </w:r>
    </w:p>
    <w:p>
      <w:r>
        <w:br w:type="page"/>
      </w:r>
    </w:p>
    <w:p>
      <w:pPr>
        <w:spacing w:after="40" w:before="0"/>
      </w:pPr>
      <w:r>
        <w:rPr>
          <w:rFonts w:ascii="Calibri" w:cs="Calibri" w:eastAsia="Calibri" w:hAnsi="Calibri"/>
          <w:b/>
          <w:bCs/>
          <w:color w:val="2563EB"/>
          <w:spacing w:val="20"/>
          <w:sz w:val="16"/>
          <w:szCs w:val="16"/>
        </w:rPr>
        <w:t xml:space="preserve">SECTION 7</w:t>
      </w:r>
    </w:p>
    <w:p>
      <w:pPr>
        <w:pStyle w:val="Heading1"/>
        <w:pBdr>
          <w:bottom w:val="single" w:color="2563EB" w:sz="8" w:space="6"/>
        </w:pBdr>
        <w:spacing w:after="200" w:before="480"/>
      </w:pPr>
      <w:r>
        <w:rPr>
          <w:rFonts w:ascii="Calibri" w:cs="Calibri" w:eastAsia="Calibri" w:hAnsi="Calibri"/>
          <w:b/>
          <w:bCs/>
          <w:color w:val="0F172A"/>
          <w:sz w:val="30"/>
          <w:szCs w:val="30"/>
        </w:rPr>
        <w:t xml:space="preserve">Ce que comprend la maintenance</w:t>
      </w:r>
    </w:p>
    <w:p>
      <w:pPr>
        <w:spacing w:after="140" w:line="300"/>
      </w:pPr>
      <w:r>
        <w:rPr>
          <w:rFonts w:ascii="Calibri" w:cs="Calibri" w:eastAsia="Calibri" w:hAnsi="Calibri"/>
          <w:color w:val="475569"/>
          <w:sz w:val="21"/>
          <w:szCs w:val="21"/>
        </w:rPr>
        <w:t xml:space="preserve">Installation = mettre PressLink en place. Maintenance = maintenir PressLink fonctionnel, sécurisé et à jour pendant toute la durée de l'abonnement.</w:t>
      </w:r>
    </w:p>
    <w:p>
      <w:pPr>
        <w:spacing w:after="100"/>
      </w:pPr>
    </w:p>
    <w:tbl>
      <w:tblPr>
        <w:tblW w:type="dxa" w:w="9458"/>
        <w:tblBorders>
          <w:top w:val="single" w:color="E2E8F0" w:sz="2"/>
          <w:left w:val="single" w:color="E2E8F0" w:sz="2"/>
          <w:bottom w:val="single" w:color="E2E8F0" w:sz="2"/>
          <w:right w:val="single" w:color="E2E8F0" w:sz="2"/>
          <w:insideH w:val="single" w:color="E2E8F0" w:sz="2"/>
          <w:insideV w:val="single" w:color="E2E8F0" w:sz="2"/>
        </w:tblBorders>
      </w:tblPr>
      <w:tblGrid>
        <w:gridCol w:w="4200"/>
        <w:gridCol w:w="2350"/>
        <w:gridCol w:w="2350"/>
        <w:gridCol w:w="2350"/>
      </w:tblGrid>
      <w:tr>
        <w:trPr>
          <w:tblHeader/>
        </w:trPr>
        <w:tc>
          <w:tcPr>
            <w:tcW w:type="dxa" w:w="4200"/>
            <w:shd w:fill="2563EB" w:val="clear"/>
            <w:tcMar>
              <w:top w:type="dxa" w:w="110"/>
              <w:left w:type="dxa" w:w="140"/>
              <w:bottom w:type="dxa" w:w="110"/>
              <w:right w:type="dxa" w:w="140"/>
            </w:tcMar>
            <w:vAlign w:val="center"/>
          </w:tcPr>
          <w:p>
            <w:pPr>
              <w:jc w:val="left"/>
            </w:pPr>
            <w:r>
              <w:rPr>
                <w:rFonts w:ascii="Calibri" w:cs="Calibri" w:eastAsia="Calibri" w:hAnsi="Calibri"/>
                <w:b/>
                <w:bCs/>
                <w:color w:val="FFFFFF"/>
                <w:sz w:val="18"/>
                <w:szCs w:val="18"/>
              </w:rPr>
              <w:t xml:space="preserve">Service inclus</w:t>
            </w:r>
          </w:p>
        </w:tc>
        <w:tc>
          <w:tcPr>
            <w:tcW w:type="dxa" w:w="23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Starter</w:t>
            </w:r>
          </w:p>
        </w:tc>
        <w:tc>
          <w:tcPr>
            <w:tcW w:type="dxa" w:w="23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Business</w:t>
            </w:r>
          </w:p>
        </w:tc>
        <w:tc>
          <w:tcPr>
            <w:tcW w:type="dxa" w:w="23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Premium</w:t>
            </w:r>
          </w:p>
        </w:tc>
      </w:tr>
      <w:tr>
        <w:tc>
          <w:tcPr>
            <w:tcW w:type="dxa" w:w="42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Correction de bugs (maintenance corrective)</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r>
        <w:tc>
          <w:tcPr>
            <w:tcW w:type="dxa" w:w="42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Sécurité &amp; mises à jour</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r>
        <w:tc>
          <w:tcPr>
            <w:tcW w:type="dxa" w:w="42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Maintenance serveur &amp; infrastructure</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r>
        <w:tc>
          <w:tcPr>
            <w:tcW w:type="dxa" w:w="42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Support technique</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r>
        <w:tc>
          <w:tcPr>
            <w:tcW w:type="dxa" w:w="42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Évolutions générales du produit (selon plan)</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r>
        <w:tc>
          <w:tcPr>
            <w:tcW w:type="dxa" w:w="42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Priorité de traitement</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Standard</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Prioritaire</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Très prioritaire</w:t>
            </w:r>
          </w:p>
        </w:tc>
      </w:tr>
      <w:tr>
        <w:tc>
          <w:tcPr>
            <w:tcW w:type="dxa" w:w="42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Accompagnement</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Standard</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Renforcé</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Premium</w:t>
            </w:r>
          </w:p>
        </w:tc>
      </w:tr>
    </w:tbl>
    <w:p>
      <w:pPr>
        <w:spacing w:after="180"/>
      </w:pPr>
    </w:p>
    <w:p>
      <w:pPr>
        <w:pStyle w:val="Heading2"/>
        <w:spacing w:after="140" w:before="320"/>
      </w:pPr>
      <w:r>
        <w:rPr>
          <w:rFonts w:ascii="Calibri" w:cs="Calibri" w:eastAsia="Calibri" w:hAnsi="Calibri"/>
          <w:b/>
          <w:bCs/>
          <w:color w:val="1D4ED8"/>
          <w:sz w:val="24"/>
          <w:szCs w:val="24"/>
        </w:rPr>
        <w:t xml:space="preserve">Niveaux de priorité support</w:t>
      </w:r>
    </w:p>
    <w:p>
      <w:pPr>
        <w:pStyle w:val="ListParagraph"/>
        <w:numPr>
          <w:ilvl w:val="0"/>
          <w:numId w:val="2"/>
        </w:numPr>
        <w:spacing w:after="60"/>
      </w:pPr>
      <w:r>
        <w:rPr>
          <w:rFonts w:ascii="Calibri" w:cs="Calibri" w:eastAsia="Calibri" w:hAnsi="Calibri"/>
          <w:b/>
          <w:bCs/>
          <w:color w:val="0F172A"/>
          <w:sz w:val="21"/>
          <w:szCs w:val="21"/>
        </w:rPr>
        <w:t xml:space="preserve">P1 — Critique : </w:t>
      </w:r>
      <w:r>
        <w:rPr>
          <w:rFonts w:ascii="Calibri" w:cs="Calibri" w:eastAsia="Calibri" w:hAnsi="Calibri"/>
          <w:color w:val="475569"/>
          <w:sz w:val="21"/>
          <w:szCs w:val="21"/>
        </w:rPr>
        <w:t xml:space="preserve">le service est totalement ou largement indisponible.</w:t>
      </w:r>
    </w:p>
    <w:p>
      <w:pPr>
        <w:pStyle w:val="ListParagraph"/>
        <w:numPr>
          <w:ilvl w:val="0"/>
          <w:numId w:val="2"/>
        </w:numPr>
        <w:spacing w:after="60"/>
      </w:pPr>
      <w:r>
        <w:rPr>
          <w:rFonts w:ascii="Calibri" w:cs="Calibri" w:eastAsia="Calibri" w:hAnsi="Calibri"/>
          <w:b/>
          <w:bCs/>
          <w:color w:val="0F172A"/>
          <w:sz w:val="21"/>
          <w:szCs w:val="21"/>
        </w:rPr>
        <w:t xml:space="preserve">P2 — Majeur : </w:t>
      </w:r>
      <w:r>
        <w:rPr>
          <w:rFonts w:ascii="Calibri" w:cs="Calibri" w:eastAsia="Calibri" w:hAnsi="Calibri"/>
          <w:color w:val="475569"/>
          <w:sz w:val="21"/>
          <w:szCs w:val="21"/>
        </w:rPr>
        <w:t xml:space="preserve">une fonctionnalité importante est bloquée.</w:t>
      </w:r>
    </w:p>
    <w:p>
      <w:pPr>
        <w:pStyle w:val="ListParagraph"/>
        <w:numPr>
          <w:ilvl w:val="0"/>
          <w:numId w:val="2"/>
        </w:numPr>
        <w:spacing w:after="60"/>
      </w:pPr>
      <w:r>
        <w:rPr>
          <w:rFonts w:ascii="Calibri" w:cs="Calibri" w:eastAsia="Calibri" w:hAnsi="Calibri"/>
          <w:b/>
          <w:bCs/>
          <w:color w:val="0F172A"/>
          <w:sz w:val="21"/>
          <w:szCs w:val="21"/>
        </w:rPr>
        <w:t xml:space="preserve">P3 — Normal : </w:t>
      </w:r>
      <w:r>
        <w:rPr>
          <w:rFonts w:ascii="Calibri" w:cs="Calibri" w:eastAsia="Calibri" w:hAnsi="Calibri"/>
          <w:color w:val="475569"/>
          <w:sz w:val="21"/>
          <w:szCs w:val="21"/>
        </w:rPr>
        <w:t xml:space="preserve">problème non bloquant.</w:t>
      </w:r>
    </w:p>
    <w:p>
      <w:pPr>
        <w:pStyle w:val="ListParagraph"/>
        <w:numPr>
          <w:ilvl w:val="0"/>
          <w:numId w:val="2"/>
        </w:numPr>
        <w:spacing w:after="60"/>
      </w:pPr>
      <w:r>
        <w:rPr>
          <w:rFonts w:ascii="Calibri" w:cs="Calibri" w:eastAsia="Calibri" w:hAnsi="Calibri"/>
          <w:b/>
          <w:bCs/>
          <w:color w:val="0F172A"/>
          <w:sz w:val="21"/>
          <w:szCs w:val="21"/>
        </w:rPr>
        <w:t xml:space="preserve">P4 — Demande : </w:t>
      </w:r>
      <w:r>
        <w:rPr>
          <w:rFonts w:ascii="Calibri" w:cs="Calibri" w:eastAsia="Calibri" w:hAnsi="Calibri"/>
          <w:color w:val="475569"/>
          <w:sz w:val="21"/>
          <w:szCs w:val="21"/>
        </w:rPr>
        <w:t xml:space="preserve">question, suggestion ou amélioration.</w:t>
      </w:r>
    </w:p>
    <w:p>
      <w:pPr>
        <w:spacing w:after="160"/>
      </w:pPr>
    </w:p>
    <w:tbl>
      <w:tblPr>
        <w:tblW w:type="dxa" w:w="9458"/>
        <w:tblBorders>
          <w:top w:val="single" w:color="2563EB" w:sz="4"/>
          <w:left w:val="single" w:color="2563EB" w:sz="4"/>
          <w:bottom w:val="single" w:color="2563EB" w:sz="4"/>
          <w:right w:val="single" w:color="2563EB" w:sz="4"/>
          <w:insideH w:val="none" w:color="FFFFFF" w:sz="0"/>
          <w:insideV w:val="none" w:color="FFFFFF" w:sz="0"/>
        </w:tblBorders>
      </w:tblPr>
      <w:tblGrid>
        <w:gridCol w:w="9458"/>
      </w:tblGrid>
      <w:tr>
        <w:tc>
          <w:tcPr>
            <w:tcW w:type="dxa" w:w="9458"/>
            <w:shd w:fill="EFF4FE" w:val="clear"/>
            <w:tcMar>
              <w:top w:type="dxa" w:w="200"/>
              <w:left w:type="dxa" w:w="260"/>
              <w:bottom w:type="dxa" w:w="200"/>
              <w:right w:type="dxa" w:w="260"/>
            </w:tcMar>
          </w:tcPr>
          <w:p>
            <w:r>
              <w:rPr>
                <w:rFonts w:ascii="Calibri" w:cs="Calibri" w:eastAsia="Calibri" w:hAnsi="Calibri"/>
                <w:b/>
                <w:bCs/>
                <w:color w:val="1D4ED8"/>
                <w:sz w:val="20"/>
                <w:szCs w:val="20"/>
              </w:rPr>
              <w:t xml:space="preserve">Règle produit : </w:t>
            </w:r>
            <w:r>
              <w:rPr>
                <w:rFonts w:ascii="Calibri" w:cs="Calibri" w:eastAsia="Calibri" w:hAnsi="Calibri"/>
                <w:color w:val="475569"/>
                <w:sz w:val="20"/>
                <w:szCs w:val="20"/>
              </w:rPr>
              <w:t xml:space="preserve">toute amélioration générale de PressLink est incluse dans l'abonnement selon la formule du client. Toute fonctionnalité développée spécifiquement pour un seul client fait l'objet d'un devis séparé.</w:t>
            </w:r>
          </w:p>
        </w:tc>
      </w:tr>
    </w:tbl>
    <w:p>
      <w:r>
        <w:br w:type="page"/>
      </w:r>
    </w:p>
    <w:p>
      <w:pPr>
        <w:spacing w:after="40" w:before="0"/>
      </w:pPr>
      <w:r>
        <w:rPr>
          <w:rFonts w:ascii="Calibri" w:cs="Calibri" w:eastAsia="Calibri" w:hAnsi="Calibri"/>
          <w:b/>
          <w:bCs/>
          <w:color w:val="2563EB"/>
          <w:spacing w:val="20"/>
          <w:sz w:val="16"/>
          <w:szCs w:val="16"/>
        </w:rPr>
        <w:t xml:space="preserve">SECTION 8</w:t>
      </w:r>
    </w:p>
    <w:p>
      <w:pPr>
        <w:pStyle w:val="Heading1"/>
        <w:pBdr>
          <w:bottom w:val="single" w:color="2563EB" w:sz="8" w:space="6"/>
        </w:pBdr>
        <w:spacing w:after="200" w:before="480"/>
      </w:pPr>
      <w:r>
        <w:rPr>
          <w:rFonts w:ascii="Calibri" w:cs="Calibri" w:eastAsia="Calibri" w:hAnsi="Calibri"/>
          <w:b/>
          <w:bCs/>
          <w:color w:val="0F172A"/>
          <w:sz w:val="30"/>
          <w:szCs w:val="30"/>
        </w:rPr>
        <w:t xml:space="preserve">Prestations facturées en supplément</w:t>
      </w:r>
    </w:p>
    <w:p>
      <w:pPr>
        <w:spacing w:after="140" w:line="300"/>
      </w:pPr>
      <w:r>
        <w:rPr>
          <w:rFonts w:ascii="Calibri" w:cs="Calibri" w:eastAsia="Calibri" w:hAnsi="Calibri"/>
          <w:color w:val="475569"/>
          <w:sz w:val="21"/>
          <w:szCs w:val="21"/>
        </w:rPr>
        <w:t xml:space="preserve">Ce qui n'est pas compris dans l'abonnement fait l'objet d'un devis, validé par le client avant toute réalisation : demande → estimation → devis → validation → réalisation → facturation.</w:t>
      </w:r>
    </w:p>
    <w:p>
      <w:pPr>
        <w:spacing w:after="120"/>
      </w:pPr>
    </w:p>
    <w:tbl>
      <w:tblPr>
        <w:tblW w:type="dxa" w:w="9458"/>
        <w:tblBorders>
          <w:top w:val="single" w:color="E2E8F0" w:sz="2"/>
          <w:left w:val="single" w:color="E2E8F0" w:sz="2"/>
          <w:bottom w:val="single" w:color="E2E8F0" w:sz="2"/>
          <w:right w:val="single" w:color="E2E8F0" w:sz="2"/>
          <w:insideH w:val="single" w:color="E2E8F0" w:sz="2"/>
          <w:insideV w:val="single" w:color="E2E8F0" w:sz="2"/>
        </w:tblBorders>
      </w:tblPr>
      <w:tblGrid>
        <w:gridCol w:w="6300"/>
        <w:gridCol w:w="1650"/>
        <w:gridCol w:w="1650"/>
      </w:tblGrid>
      <w:tr>
        <w:trPr>
          <w:tblHeader/>
        </w:trPr>
        <w:tc>
          <w:tcPr>
            <w:tcW w:type="dxa" w:w="6300"/>
            <w:shd w:fill="2563EB" w:val="clear"/>
            <w:tcMar>
              <w:top w:type="dxa" w:w="110"/>
              <w:left w:type="dxa" w:w="140"/>
              <w:bottom w:type="dxa" w:w="110"/>
              <w:right w:type="dxa" w:w="140"/>
            </w:tcMar>
            <w:vAlign w:val="center"/>
          </w:tcPr>
          <w:p>
            <w:pPr>
              <w:jc w:val="left"/>
            </w:pPr>
            <w:r>
              <w:rPr>
                <w:rFonts w:ascii="Calibri" w:cs="Calibri" w:eastAsia="Calibri" w:hAnsi="Calibri"/>
                <w:b/>
                <w:bCs/>
                <w:color w:val="FFFFFF"/>
                <w:sz w:val="18"/>
                <w:szCs w:val="18"/>
              </w:rPr>
              <w:t xml:space="preserve">Prestation</w:t>
            </w:r>
          </w:p>
        </w:tc>
        <w:tc>
          <w:tcPr>
            <w:tcW w:type="dxa" w:w="16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Abonnement</w:t>
            </w:r>
          </w:p>
        </w:tc>
        <w:tc>
          <w:tcPr>
            <w:tcW w:type="dxa" w:w="16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Supplément</w:t>
            </w:r>
          </w:p>
        </w:tc>
      </w:tr>
      <w:tr>
        <w:tc>
          <w:tcPr>
            <w:tcW w:type="dxa" w:w="63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Correction des bugs PressLink</w:t>
            </w:r>
          </w:p>
        </w:tc>
        <w:tc>
          <w:tcPr>
            <w:tcW w:type="dxa" w:w="16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16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r>
      <w:tr>
        <w:tc>
          <w:tcPr>
            <w:tcW w:type="dxa" w:w="63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Sécurité &amp; mises à jour</w:t>
            </w:r>
          </w:p>
        </w:tc>
        <w:tc>
          <w:tcPr>
            <w:tcW w:type="dxa" w:w="16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16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r>
      <w:tr>
        <w:tc>
          <w:tcPr>
            <w:tcW w:type="dxa" w:w="63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Maintenance serveur</w:t>
            </w:r>
          </w:p>
        </w:tc>
        <w:tc>
          <w:tcPr>
            <w:tcW w:type="dxa" w:w="16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16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r>
      <w:tr>
        <w:tc>
          <w:tcPr>
            <w:tcW w:type="dxa" w:w="63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Support normal</w:t>
            </w:r>
          </w:p>
        </w:tc>
        <w:tc>
          <w:tcPr>
            <w:tcW w:type="dxa" w:w="16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16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r>
      <w:tr>
        <w:tc>
          <w:tcPr>
            <w:tcW w:type="dxa" w:w="63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Évolutions générales de la formule</w:t>
            </w:r>
          </w:p>
        </w:tc>
        <w:tc>
          <w:tcPr>
            <w:tcW w:type="dxa" w:w="16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c>
          <w:tcPr>
            <w:tcW w:type="dxa" w:w="16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r>
      <w:tr>
        <w:tc>
          <w:tcPr>
            <w:tcW w:type="dxa" w:w="63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Développement sur mesure</w:t>
            </w:r>
          </w:p>
        </w:tc>
        <w:tc>
          <w:tcPr>
            <w:tcW w:type="dxa" w:w="16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c>
          <w:tcPr>
            <w:tcW w:type="dxa" w:w="16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r>
        <w:tc>
          <w:tcPr>
            <w:tcW w:type="dxa" w:w="63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Intégration d'un service externe (ERP, caisse, paiement…)</w:t>
            </w:r>
          </w:p>
        </w:tc>
        <w:tc>
          <w:tcPr>
            <w:tcW w:type="dxa" w:w="16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c>
          <w:tcPr>
            <w:tcW w:type="dxa" w:w="16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r>
        <w:tc>
          <w:tcPr>
            <w:tcW w:type="dxa" w:w="63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Migration de données complexe</w:t>
            </w:r>
          </w:p>
        </w:tc>
        <w:tc>
          <w:tcPr>
            <w:tcW w:type="dxa" w:w="16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c>
          <w:tcPr>
            <w:tcW w:type="dxa" w:w="16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r>
        <w:tc>
          <w:tcPr>
            <w:tcW w:type="dxa" w:w="63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Formation supplémentaire</w:t>
            </w:r>
          </w:p>
        </w:tc>
        <w:tc>
          <w:tcPr>
            <w:tcW w:type="dxa" w:w="16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c>
          <w:tcPr>
            <w:tcW w:type="dxa" w:w="16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r>
        <w:tc>
          <w:tcPr>
            <w:tcW w:type="dxa" w:w="63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Intervention / déplacement sur site</w:t>
            </w:r>
          </w:p>
        </w:tc>
        <w:tc>
          <w:tcPr>
            <w:tcW w:type="dxa" w:w="16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c>
          <w:tcPr>
            <w:tcW w:type="dxa" w:w="16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r>
        <w:tc>
          <w:tcPr>
            <w:tcW w:type="dxa" w:w="63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Services tiers payants (SMS, WhatsApp API…)</w:t>
            </w:r>
          </w:p>
        </w:tc>
        <w:tc>
          <w:tcPr>
            <w:tcW w:type="dxa" w:w="16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c>
          <w:tcPr>
            <w:tcW w:type="dxa" w:w="1650"/>
            <w:shd w:fill="FFFFFF"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r>
        <w:tc>
          <w:tcPr>
            <w:tcW w:type="dxa" w:w="63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Personnalisation graphique importante</w:t>
            </w:r>
          </w:p>
        </w:tc>
        <w:tc>
          <w:tcPr>
            <w:tcW w:type="dxa" w:w="16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w:t>
            </w:r>
          </w:p>
        </w:tc>
        <w:tc>
          <w:tcPr>
            <w:tcW w:type="dxa" w:w="1650"/>
            <w:shd w:fill="F8FAFC" w:val="clear"/>
            <w:tcMar>
              <w:top w:type="dxa" w:w="90"/>
              <w:left w:type="dxa" w:w="140"/>
              <w:bottom w:type="dxa" w:w="90"/>
              <w:right w:type="dxa" w:w="140"/>
            </w:tcMar>
            <w:vAlign w:val="center"/>
          </w:tcPr>
          <w:p>
            <w:pPr>
              <w:jc w:val="center"/>
            </w:pPr>
            <w:r>
              <w:rPr>
                <w:rFonts w:ascii="Calibri" w:cs="Calibri" w:eastAsia="Calibri" w:hAnsi="Calibri"/>
                <w:b/>
                <w:bCs/>
                <w:color w:val="475569"/>
                <w:sz w:val="19"/>
                <w:szCs w:val="19"/>
              </w:rPr>
              <w:t xml:space="preserve">✓</w:t>
            </w:r>
          </w:p>
        </w:tc>
      </w:tr>
    </w:tbl>
    <w:p>
      <w:pPr>
        <w:spacing w:after="160"/>
      </w:pPr>
    </w:p>
    <w:p>
      <w:pPr>
        <w:spacing w:after="140" w:line="300"/>
      </w:pPr>
      <w:r>
        <w:rPr>
          <w:rFonts w:ascii="Calibri" w:cs="Calibri" w:eastAsia="Calibri" w:hAnsi="Calibri"/>
          <w:color w:val="475569"/>
          <w:sz w:val="21"/>
          <w:szCs w:val="21"/>
        </w:rPr>
        <w:t xml:space="preserve">Un besoin qui dépasse la limite de la formule (ex. plus d'employés que le quota autorisé) n'est pas facturé en supplément : le client est orienté vers la formule supérieure adaptée.</w:t>
      </w:r>
    </w:p>
    <w:p>
      <w:r>
        <w:br w:type="page"/>
      </w:r>
    </w:p>
    <w:p>
      <w:pPr>
        <w:spacing w:after="40" w:before="0"/>
      </w:pPr>
      <w:r>
        <w:rPr>
          <w:rFonts w:ascii="Calibri" w:cs="Calibri" w:eastAsia="Calibri" w:hAnsi="Calibri"/>
          <w:b/>
          <w:bCs/>
          <w:color w:val="2563EB"/>
          <w:spacing w:val="20"/>
          <w:sz w:val="16"/>
          <w:szCs w:val="16"/>
        </w:rPr>
        <w:t xml:space="preserve">SECTION 9</w:t>
      </w:r>
    </w:p>
    <w:p>
      <w:pPr>
        <w:pStyle w:val="Heading1"/>
        <w:pBdr>
          <w:bottom w:val="single" w:color="2563EB" w:sz="8" w:space="6"/>
        </w:pBdr>
        <w:spacing w:after="200" w:before="480"/>
      </w:pPr>
      <w:r>
        <w:rPr>
          <w:rFonts w:ascii="Calibri" w:cs="Calibri" w:eastAsia="Calibri" w:hAnsi="Calibri"/>
          <w:b/>
          <w:bCs/>
          <w:color w:val="0F172A"/>
          <w:sz w:val="30"/>
          <w:szCs w:val="30"/>
        </w:rPr>
        <w:t xml:space="preserve">Synthèse de l'offre</w:t>
      </w:r>
    </w:p>
    <w:p>
      <w:pPr>
        <w:spacing w:after="100"/>
      </w:pPr>
    </w:p>
    <w:tbl>
      <w:tblPr>
        <w:tblW w:type="dxa" w:w="9458"/>
        <w:tblBorders>
          <w:top w:val="single" w:color="E2E8F0" w:sz="2"/>
          <w:left w:val="single" w:color="E2E8F0" w:sz="2"/>
          <w:bottom w:val="single" w:color="E2E8F0" w:sz="2"/>
          <w:right w:val="single" w:color="E2E8F0" w:sz="2"/>
          <w:insideH w:val="single" w:color="E2E8F0" w:sz="2"/>
          <w:insideV w:val="single" w:color="E2E8F0" w:sz="2"/>
        </w:tblBorders>
      </w:tblPr>
      <w:tblGrid>
        <w:gridCol w:w="3400"/>
        <w:gridCol w:w="2350"/>
        <w:gridCol w:w="2350"/>
        <w:gridCol w:w="2350"/>
      </w:tblGrid>
      <w:tr>
        <w:trPr>
          <w:tblHeader/>
        </w:trPr>
        <w:tc>
          <w:tcPr>
            <w:tcW w:type="dxa" w:w="3400"/>
            <w:shd w:fill="2563EB" w:val="clear"/>
            <w:tcMar>
              <w:top w:type="dxa" w:w="110"/>
              <w:left w:type="dxa" w:w="140"/>
              <w:bottom w:type="dxa" w:w="110"/>
              <w:right w:type="dxa" w:w="140"/>
            </w:tcMar>
            <w:vAlign w:val="center"/>
          </w:tcPr>
          <w:p>
            <w:pPr>
              <w:jc w:val="left"/>
            </w:pPr>
            <w:r>
              <w:rPr>
                <w:rFonts w:ascii="Calibri" w:cs="Calibri" w:eastAsia="Calibri" w:hAnsi="Calibri"/>
                <w:b/>
                <w:bCs/>
                <w:color w:val="FFFFFF"/>
                <w:sz w:val="18"/>
                <w:szCs w:val="18"/>
              </w:rPr>
              <w:t xml:space="preserve"/>
            </w:r>
          </w:p>
        </w:tc>
        <w:tc>
          <w:tcPr>
            <w:tcW w:type="dxa" w:w="23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Starter</w:t>
            </w:r>
          </w:p>
        </w:tc>
        <w:tc>
          <w:tcPr>
            <w:tcW w:type="dxa" w:w="23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Business</w:t>
            </w:r>
          </w:p>
        </w:tc>
        <w:tc>
          <w:tcPr>
            <w:tcW w:type="dxa" w:w="2350"/>
            <w:shd w:fill="2563EB" w:val="clear"/>
            <w:tcMar>
              <w:top w:type="dxa" w:w="110"/>
              <w:left w:type="dxa" w:w="140"/>
              <w:bottom w:type="dxa" w:w="110"/>
              <w:right w:type="dxa" w:w="140"/>
            </w:tcMar>
            <w:vAlign w:val="center"/>
          </w:tcPr>
          <w:p>
            <w:pPr>
              <w:jc w:val="center"/>
            </w:pPr>
            <w:r>
              <w:rPr>
                <w:rFonts w:ascii="Calibri" w:cs="Calibri" w:eastAsia="Calibri" w:hAnsi="Calibri"/>
                <w:b/>
                <w:bCs/>
                <w:color w:val="FFFFFF"/>
                <w:sz w:val="18"/>
                <w:szCs w:val="18"/>
              </w:rPr>
              <w:t xml:space="preserve">Premium</w:t>
            </w:r>
          </w:p>
        </w:tc>
      </w:tr>
      <w:tr>
        <w:tc>
          <w:tcPr>
            <w:tcW w:type="dxa" w:w="34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Positionnement</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Digitaliser son pressing</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Développer son pressing</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Piloter plusieurs pressings</w:t>
            </w:r>
          </w:p>
        </w:tc>
      </w:tr>
      <w:tr>
        <w:tc>
          <w:tcPr>
            <w:tcW w:type="dxa" w:w="3400"/>
            <w:shd w:fill="F8FAFC"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Ticket d'entrée</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100 000 F</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200 000 F</w:t>
            </w:r>
          </w:p>
        </w:tc>
        <w:tc>
          <w:tcPr>
            <w:tcW w:type="dxa" w:w="2350"/>
            <w:shd w:fill="F8FAFC"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350 000 F</w:t>
            </w:r>
          </w:p>
        </w:tc>
      </w:tr>
      <w:tr>
        <w:tc>
          <w:tcPr>
            <w:tcW w:type="dxa" w:w="3400"/>
            <w:shd w:fill="FFFFFF" w:val="clear"/>
            <w:tcMar>
              <w:top w:type="dxa" w:w="90"/>
              <w:left w:type="dxa" w:w="140"/>
              <w:bottom w:type="dxa" w:w="90"/>
              <w:right w:type="dxa" w:w="140"/>
            </w:tcMar>
            <w:vAlign w:val="center"/>
          </w:tcPr>
          <w:p>
            <w:pPr>
              <w:jc w:val="left"/>
            </w:pPr>
            <w:r>
              <w:rPr>
                <w:rFonts w:ascii="Calibri" w:cs="Calibri" w:eastAsia="Calibri" w:hAnsi="Calibri"/>
                <w:b w:val="false"/>
                <w:bCs w:val="false"/>
                <w:color w:val="475569"/>
                <w:sz w:val="19"/>
                <w:szCs w:val="19"/>
              </w:rPr>
              <w:t xml:space="preserve">Abonnement</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20 000 F/mois</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30 000 F/mois</w:t>
            </w:r>
          </w:p>
        </w:tc>
        <w:tc>
          <w:tcPr>
            <w:tcW w:type="dxa" w:w="2350"/>
            <w:shd w:fill="FFFFFF" w:val="clear"/>
            <w:tcMar>
              <w:top w:type="dxa" w:w="90"/>
              <w:left w:type="dxa" w:w="140"/>
              <w:bottom w:type="dxa" w:w="90"/>
              <w:right w:type="dxa" w:w="140"/>
            </w:tcMar>
            <w:vAlign w:val="center"/>
          </w:tcPr>
          <w:p>
            <w:pPr>
              <w:jc w:val="center"/>
            </w:pPr>
            <w:r>
              <w:rPr>
                <w:rFonts w:ascii="Calibri" w:cs="Calibri" w:eastAsia="Calibri" w:hAnsi="Calibri"/>
                <w:b w:val="false"/>
                <w:bCs w:val="false"/>
                <w:color w:val="475569"/>
                <w:sz w:val="19"/>
                <w:szCs w:val="19"/>
              </w:rPr>
              <w:t xml:space="preserve">50 000 F/mois</w:t>
            </w:r>
          </w:p>
        </w:tc>
      </w:tr>
    </w:tbl>
    <w:p>
      <w:pPr>
        <w:spacing w:after="220"/>
      </w:pPr>
    </w:p>
    <w:tbl>
      <w:tblPr>
        <w:tblW w:type="dxa" w:w="9458"/>
        <w:tblBorders>
          <w:top w:val="single" w:color="2563EB" w:sz="4"/>
          <w:left w:val="single" w:color="2563EB" w:sz="4"/>
          <w:bottom w:val="single" w:color="2563EB" w:sz="4"/>
          <w:right w:val="single" w:color="2563EB" w:sz="4"/>
          <w:insideH w:val="none" w:color="FFFFFF" w:sz="0"/>
          <w:insideV w:val="none" w:color="FFFFFF" w:sz="0"/>
        </w:tblBorders>
      </w:tblPr>
      <w:tblGrid>
        <w:gridCol w:w="9458"/>
      </w:tblGrid>
      <w:tr>
        <w:tc>
          <w:tcPr>
            <w:tcW w:type="dxa" w:w="9458"/>
            <w:shd w:fill="EFF4FE" w:val="clear"/>
            <w:tcMar>
              <w:top w:type="dxa" w:w="200"/>
              <w:left w:type="dxa" w:w="260"/>
              <w:bottom w:type="dxa" w:w="200"/>
              <w:right w:type="dxa" w:w="260"/>
            </w:tcMar>
          </w:tcPr>
          <w:p>
            <w:pPr>
              <w:spacing w:after="80"/>
            </w:pPr>
            <w:r>
              <w:rPr>
                <w:rFonts w:ascii="Calibri" w:cs="Calibri" w:eastAsia="Calibri" w:hAnsi="Calibri"/>
                <w:b/>
                <w:bCs/>
                <w:color w:val="1D4ED8"/>
                <w:sz w:val="20"/>
                <w:szCs w:val="20"/>
              </w:rPr>
              <w:t xml:space="preserve">💰 Ticket d'entrée</w:t>
            </w:r>
          </w:p>
          <w:p>
            <w:pPr>
              <w:spacing w:after="160"/>
            </w:pPr>
            <w:r>
              <w:rPr>
                <w:rFonts w:ascii="Calibri" w:cs="Calibri" w:eastAsia="Calibri" w:hAnsi="Calibri"/>
                <w:color w:val="475569"/>
                <w:sz w:val="19"/>
                <w:szCs w:val="19"/>
              </w:rPr>
              <w:t xml:space="preserve">Installation, configuration, formation, mise en production.</w:t>
            </w:r>
          </w:p>
          <w:p>
            <w:pPr>
              <w:spacing w:after="80"/>
            </w:pPr>
            <w:r>
              <w:rPr>
                <w:rFonts w:ascii="Calibri" w:cs="Calibri" w:eastAsia="Calibri" w:hAnsi="Calibri"/>
                <w:b/>
                <w:bCs/>
                <w:color w:val="1D4ED8"/>
                <w:sz w:val="20"/>
                <w:szCs w:val="20"/>
              </w:rPr>
              <w:t xml:space="preserve">🔄 Abonnement</w:t>
            </w:r>
          </w:p>
          <w:p>
            <w:pPr>
              <w:spacing w:after="160"/>
            </w:pPr>
            <w:r>
              <w:rPr>
                <w:rFonts w:ascii="Calibri" w:cs="Calibri" w:eastAsia="Calibri" w:hAnsi="Calibri"/>
                <w:color w:val="475569"/>
                <w:sz w:val="19"/>
                <w:szCs w:val="19"/>
              </w:rPr>
              <w:t xml:space="preserve">Hébergement, maintenance corrective, sécurité, mises à jour, support, évolutions selon la formule.</w:t>
            </w:r>
          </w:p>
          <w:p>
            <w:pPr>
              <w:spacing w:after="80"/>
            </w:pPr>
            <w:r>
              <w:rPr>
                <w:rFonts w:ascii="Calibri" w:cs="Calibri" w:eastAsia="Calibri" w:hAnsi="Calibri"/>
                <w:b/>
                <w:bCs/>
                <w:color w:val="1D4ED8"/>
                <w:sz w:val="20"/>
                <w:szCs w:val="20"/>
              </w:rPr>
              <w:t xml:space="preserve">🛠️ Sur devis</w:t>
            </w:r>
          </w:p>
          <w:p>
            <w:r>
              <w:rPr>
                <w:rFonts w:ascii="Calibri" w:cs="Calibri" w:eastAsia="Calibri" w:hAnsi="Calibri"/>
                <w:color w:val="475569"/>
                <w:sz w:val="19"/>
                <w:szCs w:val="19"/>
              </w:rPr>
              <w:t xml:space="preserve">Développements spécifiques, intégrations particulières, prestations exceptionnelles.</w:t>
            </w:r>
          </w:p>
        </w:tc>
      </w:tr>
    </w:tbl>
    <w:p>
      <w:pPr>
        <w:spacing w:after="280"/>
      </w:pPr>
    </w:p>
    <w:p>
      <w:pPr>
        <w:spacing w:before="200"/>
        <w:jc w:val="center"/>
      </w:pPr>
      <w:r>
        <w:rPr>
          <w:rFonts w:ascii="Calibri" w:cs="Calibri" w:eastAsia="Calibri" w:hAnsi="Calibri"/>
          <w:b/>
          <w:bCs/>
          <w:color w:val="0F172A"/>
          <w:sz w:val="26"/>
          <w:szCs w:val="26"/>
        </w:rPr>
        <w:t xml:space="preserve">Press</w:t>
      </w:r>
      <w:r>
        <w:rPr>
          <w:rFonts w:ascii="Calibri" w:cs="Calibri" w:eastAsia="Calibri" w:hAnsi="Calibri"/>
          <w:b/>
          <w:bCs/>
          <w:color w:val="2563EB"/>
          <w:sz w:val="26"/>
          <w:szCs w:val="26"/>
        </w:rPr>
        <w:t xml:space="preserve">Link</w:t>
      </w:r>
    </w:p>
    <w:p>
      <w:pPr>
        <w:spacing w:before="60"/>
        <w:jc w:val="center"/>
      </w:pPr>
      <w:r>
        <w:rPr>
          <w:rFonts w:ascii="Calibri" w:cs="Calibri" w:eastAsia="Calibri" w:hAnsi="Calibri"/>
          <w:i/>
          <w:iCs/>
          <w:color w:val="94A3B8"/>
          <w:sz w:val="18"/>
          <w:szCs w:val="18"/>
        </w:rPr>
        <w:t xml:space="preserve">Le lien entre votre pressing et vos clients.</w:t>
      </w:r>
    </w:p>
    <w:sectPr>
      <w:headerReference w:type="default" r:id="rId7"/>
      <w:footerReference w:type="default" r:id="rId8"/>
      <w:pgSz w:w="11906" w:h="16838" w:orient="portrait"/>
      <w:pgMar w:top="1224" w:right="1224" w:bottom="1224"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5"/>
        <w:szCs w:val="15"/>
      </w:rPr>
      <w:t xml:space="preserve">PressLink — Document confidentiel  ·  Page </w:t>
    </w:r>
    <w:r>
      <w:rPr>
        <w:rFonts w:ascii="Calibri" w:cs="Calibri" w:eastAsia="Calibri" w:hAnsi="Calibri"/>
        <w:color w:val="94A3B8"/>
        <w:sz w:val="15"/>
        <w:szCs w:val="15"/>
      </w:rPr>
      <w:fldChar w:fldCharType="begin"/>
      <w:instrText xml:space="preserve">PAGE</w:instrText>
      <w:fldChar w:fldCharType="separate"/>
      <w:fldChar w:fldCharType="end"/>
    </w:r>
    <w:r>
      <w:rPr>
        <w:rFonts w:ascii="Calibri" w:cs="Calibri" w:eastAsia="Calibri" w:hAnsi="Calibri"/>
        <w:color w:val="94A3B8"/>
        <w:sz w:val="15"/>
        <w:szCs w:val="15"/>
      </w:rPr>
      <w:t xml:space="preserve"> / </w:t>
    </w:r>
    <w:r>
      <w:rPr>
        <w:rFonts w:ascii="Calibri" w:cs="Calibri" w:eastAsia="Calibri" w:hAnsi="Calibri"/>
        <w:color w:val="94A3B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jc w:val="right"/>
    </w:pPr>
    <w:r>
      <w:rPr>
        <w:rFonts w:ascii="Calibri" w:cs="Calibri" w:eastAsia="Calibri" w:hAnsi="Calibri"/>
        <w:b/>
        <w:bCs/>
        <w:color w:val="0F172A"/>
        <w:sz w:val="16"/>
        <w:szCs w:val="16"/>
      </w:rPr>
      <w:t xml:space="preserve">Press</w:t>
    </w:r>
    <w:r>
      <w:rPr>
        <w:rFonts w:ascii="Calibri" w:cs="Calibri" w:eastAsia="Calibri" w:hAnsi="Calibri"/>
        <w:b/>
        <w:bCs/>
        <w:color w:val="2563EB"/>
        <w:sz w:val="16"/>
        <w:szCs w:val="16"/>
      </w:rPr>
      <w:t xml:space="preserve">Link</w:t>
    </w:r>
    <w:r>
      <w:rPr>
        <w:rFonts w:ascii="Calibri" w:cs="Calibri" w:eastAsia="Calibri" w:hAnsi="Calibri"/>
        <w:color w:val="94A3B8"/>
        <w:sz w:val="16"/>
        <w:szCs w:val="16"/>
      </w:rPr>
      <w:t xml:space="preserve">  ·  Offre commerciale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2026-09-23T09:53:21.416Z</dcterms:created>
  <dcterms:modified xsi:type="dcterms:W3CDTF">2026-09-23T09:53:21.422Z</dcterms:modified>
</cp:coreProperties>
</file>

<file path=docProps/custom.xml><?xml version="1.0" encoding="utf-8"?>
<Properties xmlns="http://schemas.openxmlformats.org/officeDocument/2006/custom-properties" xmlns:vt="http://schemas.openxmlformats.org/officeDocument/2006/docPropsVTypes"/>
</file>