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/>
          <w:color w:val="5B53D0"/>
          <w:sz w:val="24"/>
          <w:rtl w:val="1"/>
          <w:lang w:bidi="ar-SA"/>
        </w:rPr>
        <w:t>MKDD</w:t>
      </w:r>
    </w:p>
    <w:p>
      <w:pPr>
        <w:bidi w:val="1"/>
        <w:spacing w:after="0" w:before="0" w:line="240" w:lineRule="auto"/>
        <w:jc w:val="right"/>
      </w:pPr>
      <w:r>
        <w:rPr>
          <w:rFonts w:ascii="Noto Sans Arabic" w:hAnsi="Noto Sans Arabic" w:cs="Noto Sans Arabic"/>
          <w:b/>
          <w:color w:val="16181A"/>
          <w:sz w:val="48"/>
          <w:rtl w:val="1"/>
          <w:lang w:bidi="ar-SA"/>
        </w:rPr>
        <w:t>نظام ألوان الواجهة</w:t>
      </w:r>
    </w:p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/>
          <w:color w:val="5B53D0"/>
          <w:sz w:val="28"/>
          <w:rtl w:val="1"/>
          <w:lang w:bidi="ar-SA"/>
        </w:rPr>
        <w:t>الوضع النهاري والوضع الليلي</w:t>
      </w:r>
    </w:p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 w:val="0"/>
          <w:color w:val="4D4E52"/>
          <w:sz w:val="20"/>
          <w:rtl w:val="1"/>
          <w:lang w:bidi="ar-SA"/>
        </w:rPr>
        <w:t>مرجع تنفيذي موحّد للألوان المستخدمة في تصميم الواجهة، مع فصل واضح بين ألوان الأساس وألوان الحالات.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F2F0FF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/>
                <w:color w:val="5B53D0"/>
                <w:sz w:val="21"/>
                <w:rtl w:val="1"/>
                <w:lang w:bidi="ar-SA"/>
              </w:rPr>
              <w:t>قاعدة أساسية</w:t>
            </w:r>
          </w:p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9"/>
                <w:rtl w:val="1"/>
                <w:lang w:bidi="ar-SA"/>
              </w:rPr>
              <w:t>لا تُكتب قيم الألوان مباشرة داخل المكونات. تُستخدم أسماء الألوان الوظيفية حتى يمكن التبديل بين الوضعين بدون تغيير منطق الواجهة.</w:t>
            </w:r>
          </w:p>
        </w:tc>
      </w:tr>
    </w:tbl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/>
          <w:color w:val="16181A"/>
          <w:sz w:val="30"/>
          <w:rtl w:val="1"/>
          <w:lang w:bidi="ar-SA"/>
        </w:rPr>
        <w:t>ترتيب طبقات اللون داخل الواجهة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5151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قاعدة الاستخدام</w:t>
            </w:r>
          </w:p>
        </w:tc>
        <w:tc>
          <w:tcPr>
            <w:tcW w:type="dxa" w:w="5151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العائلة</w:t>
            </w:r>
          </w:p>
        </w:tc>
        <w:tc>
          <w:tcPr>
            <w:tcW w:type="dxa" w:w="5151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الترتيب</w:t>
            </w:r>
          </w:p>
        </w:tc>
      </w:tr>
      <w:tr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6"/>
                <w:rtl w:val="1"/>
                <w:lang w:bidi="ar-SA"/>
              </w:rPr>
              <w:t>الخلفية العامة والأعمق. لا يُستخدم لون التأكيد كخلفية عامة.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Canvas / Page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01</w:t>
            </w:r>
          </w:p>
        </w:tc>
      </w:tr>
      <w:tr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6"/>
                <w:rtl w:val="1"/>
                <w:lang w:bidi="ar-SA"/>
              </w:rPr>
              <w:t>البطاقات واللوحات والحوارات وحقول الإدخال.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Surface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02</w:t>
            </w:r>
          </w:p>
        </w:tc>
      </w:tr>
      <w:tr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6"/>
                <w:rtl w:val="1"/>
                <w:lang w:bidi="ar-SA"/>
              </w:rPr>
              <w:t>نبدأ بالحد الخفيف ونستخدم الحد القوي عند الحاجة فقط.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Borders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03</w:t>
            </w:r>
          </w:p>
        </w:tc>
      </w:tr>
      <w:tr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6"/>
                <w:rtl w:val="1"/>
                <w:lang w:bidi="ar-SA"/>
              </w:rPr>
              <w:t>الترتيب من النص الأساسي إلى الثانوي ثم الخافت ثم غير الفعال.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Typography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04</w:t>
            </w:r>
          </w:p>
        </w:tc>
      </w:tr>
      <w:tr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6"/>
                <w:rtl w:val="1"/>
                <w:lang w:bidi="ar-SA"/>
              </w:rPr>
              <w:t>الإجراء الأساسي والتنقل النشط والعناصر المختارة.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Primary Accent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05</w:t>
            </w:r>
          </w:p>
        </w:tc>
      </w:tr>
      <w:tr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6"/>
                <w:rtl w:val="1"/>
                <w:lang w:bidi="ar-SA"/>
              </w:rPr>
              <w:t>ألوان الحالة تُستخدم فقط عندما توجد حالة حقيقية من النظام.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Semantic Status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06</w:t>
            </w:r>
          </w:p>
        </w:tc>
      </w:tr>
      <w:tr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6"/>
                <w:rtl w:val="1"/>
                <w:lang w:bidi="ar-SA"/>
              </w:rPr>
              <w:t>حلقة الموظف الخضراء تظهر فقط عند وجود تنفيذ فعلي.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Employee Busy Ring</w:t>
            </w:r>
          </w:p>
        </w:tc>
        <w:tc>
          <w:tcPr>
            <w:tcW w:type="dxa" w:w="5151"/>
            <w:tcMar>
              <w:top w:w="24" w:type="dxa"/>
              <w:start w:w="65" w:type="dxa"/>
              <w:bottom w:w="24" w:type="dxa"/>
              <w:end w:w="65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6"/>
                <w:rtl w:val="0"/>
                <w:lang w:val="en-US"/>
              </w:rPr>
              <w:t>07</w:t>
            </w:r>
          </w:p>
        </w:tc>
      </w:tr>
    </w:tbl>
    <w:p>
      <w:pPr>
        <w:pageBreakBefore/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/>
          <w:color w:val="16181A"/>
          <w:sz w:val="32"/>
          <w:rtl w:val="1"/>
          <w:lang w:bidi="ar-SA"/>
        </w:rPr>
        <w:t>الوضع النهاري</w:t>
      </w:r>
    </w:p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 w:val="0"/>
          <w:color w:val="4D4E52"/>
          <w:sz w:val="18"/>
          <w:rtl w:val="1"/>
          <w:lang w:bidi="ar-SA"/>
        </w:rPr>
        <w:t>ترتيب الألوان يبدأ من الخلفية وينتهي بألوان الحالات. كل قيمة هنا لها دور محدد ولا تُستخدم عشوائيًا.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</w:trPr>
        <w:tc>
          <w:tcPr>
            <w:tcW w:type="dxa" w:w="3090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الاستخدام</w:t>
            </w:r>
          </w:p>
        </w:tc>
        <w:tc>
          <w:tcPr>
            <w:tcW w:type="dxa" w:w="3090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HEX</w:t>
            </w:r>
          </w:p>
        </w:tc>
        <w:tc>
          <w:tcPr>
            <w:tcW w:type="dxa" w:w="3090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Token</w:t>
            </w:r>
          </w:p>
        </w:tc>
        <w:tc>
          <w:tcPr>
            <w:tcW w:type="dxa" w:w="3090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الترتيب</w:t>
            </w:r>
          </w:p>
        </w:tc>
        <w:tc>
          <w:tcPr>
            <w:tcW w:type="dxa" w:w="3090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العينة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خلفية التطبيق العامة والأبعد عن المحتوى.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#FDFDFE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canvas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01</w:t>
            </w:r>
          </w:p>
        </w:tc>
        <w:tc>
          <w:tcPr>
            <w:tcW w:type="dxa" w:w="3090"/>
            <w:shd w:fill="FDFDFE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16181A"/>
                <w:sz w:val="13"/>
                <w:rtl w:val="0"/>
                <w:lang w:val="en-US"/>
              </w:rPr>
              <w:t>FDFDFE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خلفية الصفحة والمناطق الهادئة داخل التطبيق.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#F7F6F9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page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02</w:t>
            </w:r>
          </w:p>
        </w:tc>
        <w:tc>
          <w:tcPr>
            <w:tcW w:type="dxa" w:w="3090"/>
            <w:shd w:fill="F7F6F9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16181A"/>
                <w:sz w:val="13"/>
                <w:rtl w:val="0"/>
                <w:lang w:val="en-US"/>
              </w:rPr>
              <w:t>F7F6F9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البطاقات واللوحات الأساسية ومناطق المحتوى.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#FFFFFF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surface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03</w:t>
            </w:r>
          </w:p>
        </w:tc>
        <w:tc>
          <w:tcPr>
            <w:tcW w:type="dxa" w:w="3090"/>
            <w:shd w:fill="FFFFFF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16181A"/>
                <w:sz w:val="13"/>
                <w:rtl w:val="0"/>
                <w:lang w:val="en-US"/>
              </w:rPr>
              <w:t>FFFFFF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الفواصل والحدود الخفيفة بين العناصر.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#EBEBEF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border-subtle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04</w:t>
            </w:r>
          </w:p>
        </w:tc>
        <w:tc>
          <w:tcPr>
            <w:tcW w:type="dxa" w:w="3090"/>
            <w:shd w:fill="EBEBEF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16181A"/>
                <w:sz w:val="13"/>
                <w:rtl w:val="0"/>
                <w:lang w:val="en-US"/>
              </w:rPr>
              <w:t>EBEBEF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الحدود الأوضح وحقول الإدخال والحالات المحددة.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#D9D9DD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border-strong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05</w:t>
            </w:r>
          </w:p>
        </w:tc>
        <w:tc>
          <w:tcPr>
            <w:tcW w:type="dxa" w:w="3090"/>
            <w:shd w:fill="D9D9DD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16181A"/>
                <w:sz w:val="13"/>
                <w:rtl w:val="0"/>
                <w:lang w:val="en-US"/>
              </w:rPr>
              <w:t>D9D9DD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النصوص والأيقونات غير المتاحة أو غير الفعالة.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#ADAEB1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text-disabled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06</w:t>
            </w:r>
          </w:p>
        </w:tc>
        <w:tc>
          <w:tcPr>
            <w:tcW w:type="dxa" w:w="3090"/>
            <w:shd w:fill="ADAEB1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16181A"/>
                <w:sz w:val="13"/>
                <w:rtl w:val="0"/>
                <w:lang w:val="en-US"/>
              </w:rPr>
              <w:t>ADAEB1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الوقت والبيانات الوصفية والنصوص منخفضة الأهمية.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#818287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text-muted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07</w:t>
            </w:r>
          </w:p>
        </w:tc>
        <w:tc>
          <w:tcPr>
            <w:tcW w:type="dxa" w:w="3090"/>
            <w:shd w:fill="818287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818287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النصوص الثانوية والوصف المساعد.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#4D4E52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text-secondary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08</w:t>
            </w:r>
          </w:p>
        </w:tc>
        <w:tc>
          <w:tcPr>
            <w:tcW w:type="dxa" w:w="3090"/>
            <w:shd w:fill="4D4E52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4D4E52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العناوين والنصوص الأساسية عالية الوضوح.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#16181A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text-primary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09</w:t>
            </w:r>
          </w:p>
        </w:tc>
        <w:tc>
          <w:tcPr>
            <w:tcW w:type="dxa" w:w="3090"/>
            <w:shd w:fill="16181A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16181A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الإجراء الأساسي والتنقل النشط والاختيارات المهمة.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#5B53D0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accent-primary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10</w:t>
            </w:r>
          </w:p>
        </w:tc>
        <w:tc>
          <w:tcPr>
            <w:tcW w:type="dxa" w:w="3090"/>
            <w:shd w:fill="5B53D0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5B53D0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التأكيد الخفيف والشارات والعناصر الثانوية.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#8B8ADA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accent-soft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11</w:t>
            </w:r>
          </w:p>
        </w:tc>
        <w:tc>
          <w:tcPr>
            <w:tcW w:type="dxa" w:w="3090"/>
            <w:shd w:fill="8B8ADA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8B8ADA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المعلومات والنشاط والتقدم غير النهائي.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#548DE6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info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12</w:t>
            </w:r>
          </w:p>
        </w:tc>
        <w:tc>
          <w:tcPr>
            <w:tcW w:type="dxa" w:w="3090"/>
            <w:shd w:fill="548DE6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548DE6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النجاح والاعتماد وحالة الموظف الذي يعمل فعليًا.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#49A65A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success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13</w:t>
            </w:r>
          </w:p>
        </w:tc>
        <w:tc>
          <w:tcPr>
            <w:tcW w:type="dxa" w:w="3090"/>
            <w:shd w:fill="49A65A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49A65A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الانتظار أو الحاجة إلى انتباه المستخدم.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#FECC7C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warning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14</w:t>
            </w:r>
          </w:p>
        </w:tc>
        <w:tc>
          <w:tcPr>
            <w:tcW w:type="dxa" w:w="3090"/>
            <w:shd w:fill="FECC7C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16181A"/>
                <w:sz w:val="13"/>
                <w:rtl w:val="0"/>
                <w:lang w:val="en-US"/>
              </w:rPr>
              <w:t>FECC7C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الأخطاء والعوائق والنتائج المفتوحة والإجراءات الخطرة.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#F1474B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danger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15</w:t>
            </w:r>
          </w:p>
        </w:tc>
        <w:tc>
          <w:tcPr>
            <w:tcW w:type="dxa" w:w="3090"/>
            <w:shd w:fill="F1474B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F1474B</w:t>
            </w:r>
          </w:p>
        </w:tc>
      </w:tr>
    </w:tbl>
    <w:p>
      <w:pPr>
        <w:pageBreakBefore/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/>
          <w:color w:val="16181A"/>
          <w:sz w:val="32"/>
          <w:rtl w:val="1"/>
          <w:lang w:bidi="ar-SA"/>
        </w:rPr>
        <w:t>الوضع الليلي</w:t>
      </w:r>
    </w:p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 w:val="0"/>
          <w:color w:val="4D4E52"/>
          <w:sz w:val="18"/>
          <w:rtl w:val="1"/>
          <w:lang w:bidi="ar-SA"/>
        </w:rPr>
        <w:t>ترتيب الألوان يبدأ من الخلفية وينتهي بألوان الحالات. كل قيمة هنا لها دور محدد ولا تُستخدم عشوائيًا.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</w:trPr>
        <w:tc>
          <w:tcPr>
            <w:tcW w:type="dxa" w:w="3090"/>
            <w:shd w:fill="182231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F7F6F7"/>
                <w:sz w:val="16"/>
                <w:rtl w:val="1"/>
                <w:lang w:bidi="ar-SA"/>
              </w:rPr>
              <w:t>الاستخدام</w:t>
            </w:r>
          </w:p>
        </w:tc>
        <w:tc>
          <w:tcPr>
            <w:tcW w:type="dxa" w:w="3090"/>
            <w:shd w:fill="182231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F7F6F7"/>
                <w:sz w:val="15"/>
                <w:rtl w:val="0"/>
                <w:lang w:val="en-US"/>
              </w:rPr>
              <w:t>HEX</w:t>
            </w:r>
          </w:p>
        </w:tc>
        <w:tc>
          <w:tcPr>
            <w:tcW w:type="dxa" w:w="3090"/>
            <w:shd w:fill="182231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F7F6F7"/>
                <w:sz w:val="15"/>
                <w:rtl w:val="0"/>
                <w:lang w:val="en-US"/>
              </w:rPr>
              <w:t>Token</w:t>
            </w:r>
          </w:p>
        </w:tc>
        <w:tc>
          <w:tcPr>
            <w:tcW w:type="dxa" w:w="3090"/>
            <w:shd w:fill="182231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F7F6F7"/>
                <w:sz w:val="16"/>
                <w:rtl w:val="1"/>
                <w:lang w:bidi="ar-SA"/>
              </w:rPr>
              <w:t>الترتيب</w:t>
            </w:r>
          </w:p>
        </w:tc>
        <w:tc>
          <w:tcPr>
            <w:tcW w:type="dxa" w:w="3090"/>
            <w:shd w:fill="182231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F7F6F7"/>
                <w:sz w:val="16"/>
                <w:rtl w:val="1"/>
                <w:lang w:bidi="ar-SA"/>
              </w:rPr>
              <w:t>العينة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الخلفية الأبعد والأكثر عمقًا في الوضع الليلي.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#020305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canvas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01</w:t>
            </w:r>
          </w:p>
        </w:tc>
        <w:tc>
          <w:tcPr>
            <w:tcW w:type="dxa" w:w="3090"/>
            <w:shd w:fill="020305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020305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خلفية التطبيق الرئيسية في الوضع الليلي.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#08111E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page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02</w:t>
            </w:r>
          </w:p>
        </w:tc>
        <w:tc>
          <w:tcPr>
            <w:tcW w:type="dxa" w:w="3090"/>
            <w:shd w:fill="08111E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08111E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البطاقات واللوحات الأساسية.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#0C1623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surface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03</w:t>
            </w:r>
          </w:p>
        </w:tc>
        <w:tc>
          <w:tcPr>
            <w:tcW w:type="dxa" w:w="3090"/>
            <w:shd w:fill="0C1623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0C1623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اللوحات المرتفعة وحقول الإدخال والمناطق البارزة.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#0E1B2A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surface-raised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04</w:t>
            </w:r>
          </w:p>
        </w:tc>
        <w:tc>
          <w:tcPr>
            <w:tcW w:type="dxa" w:w="3090"/>
            <w:shd w:fill="0E1B2A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0E1B2A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حالة المرور أو الاختيار المحايد.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#192330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surface-hover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05</w:t>
            </w:r>
          </w:p>
        </w:tc>
        <w:tc>
          <w:tcPr>
            <w:tcW w:type="dxa" w:w="3090"/>
            <w:shd w:fill="192330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192330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الفواصل والحدود الخفيفة.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#2B323A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border-subtle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06</w:t>
            </w:r>
          </w:p>
        </w:tc>
        <w:tc>
          <w:tcPr>
            <w:tcW w:type="dxa" w:w="3090"/>
            <w:shd w:fill="2B323A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2B323A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الحدود الأوضح وحواف حقول الإدخال.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#383F4A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border-strong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07</w:t>
            </w:r>
          </w:p>
        </w:tc>
        <w:tc>
          <w:tcPr>
            <w:tcW w:type="dxa" w:w="3090"/>
            <w:shd w:fill="383F4A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383F4A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النصوص والأيقونات غير الفعالة.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#4F4F51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text-disabled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08</w:t>
            </w:r>
          </w:p>
        </w:tc>
        <w:tc>
          <w:tcPr>
            <w:tcW w:type="dxa" w:w="3090"/>
            <w:shd w:fill="4F4F51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4F4F51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الوقت والبيانات الوصفية والنصوص منخفضة الأهمية.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#74757A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text-muted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09</w:t>
            </w:r>
          </w:p>
        </w:tc>
        <w:tc>
          <w:tcPr>
            <w:tcW w:type="dxa" w:w="3090"/>
            <w:shd w:fill="74757A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74757A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النصوص الثانوية والوصف المساعد.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#9FA1A5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text-secondary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10</w:t>
            </w:r>
          </w:p>
        </w:tc>
        <w:tc>
          <w:tcPr>
            <w:tcW w:type="dxa" w:w="3090"/>
            <w:shd w:fill="9FA1A5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16181A"/>
                <w:sz w:val="13"/>
                <w:rtl w:val="0"/>
                <w:lang w:val="en-US"/>
              </w:rPr>
              <w:t>9FA1A5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العناوين والنصوص الأساسية.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#F7F6F7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text-primary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11</w:t>
            </w:r>
          </w:p>
        </w:tc>
        <w:tc>
          <w:tcPr>
            <w:tcW w:type="dxa" w:w="3090"/>
            <w:shd w:fill="F7F6F7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16181A"/>
                <w:sz w:val="13"/>
                <w:rtl w:val="0"/>
                <w:lang w:val="en-US"/>
              </w:rPr>
              <w:t>F7F6F7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الإجراء الأساسي والتنقل النشط وإرسال الرسائل.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#325BE4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accent-primary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12</w:t>
            </w:r>
          </w:p>
        </w:tc>
        <w:tc>
          <w:tcPr>
            <w:tcW w:type="dxa" w:w="3090"/>
            <w:shd w:fill="325BE4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325BE4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الحالة المضغوطة أو التأكيد الأزرق القوي.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#1843A4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accent-deep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13</w:t>
            </w:r>
          </w:p>
        </w:tc>
        <w:tc>
          <w:tcPr>
            <w:tcW w:type="dxa" w:w="3090"/>
            <w:shd w:fill="1843A4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1843A4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الروابط والتأكيدات الثانوية.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#6F8BE4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accent-soft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14</w:t>
            </w:r>
          </w:p>
        </w:tc>
        <w:tc>
          <w:tcPr>
            <w:tcW w:type="dxa" w:w="3090"/>
            <w:shd w:fill="6F8BE4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6F8BE4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النجاح والاعتماد وحالة الموظف الذي يعمل فعليًا.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#6BC64D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success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15</w:t>
            </w:r>
          </w:p>
        </w:tc>
        <w:tc>
          <w:tcPr>
            <w:tcW w:type="dxa" w:w="3090"/>
            <w:shd w:fill="6BC64D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16181A"/>
                <w:sz w:val="13"/>
                <w:rtl w:val="0"/>
                <w:lang w:val="en-US"/>
              </w:rPr>
              <w:t>6BC64D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الانتظار أو الحاجة إلى انتباه المستخدم.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#F48030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warning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16</w:t>
            </w:r>
          </w:p>
        </w:tc>
        <w:tc>
          <w:tcPr>
            <w:tcW w:type="dxa" w:w="3090"/>
            <w:shd w:fill="F48030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F48030</w:t>
            </w:r>
          </w:p>
        </w:tc>
      </w:tr>
      <w:tr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4"/>
                <w:rtl w:val="1"/>
                <w:lang w:bidi="ar-SA"/>
              </w:rPr>
              <w:t>الأخطاء والعوائق والنتائج المفتوحة والإجراءات الخطرة.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#CF3334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4"/>
                <w:rtl w:val="0"/>
                <w:lang w:val="en-US"/>
              </w:rPr>
              <w:t>danger</w:t>
            </w:r>
          </w:p>
        </w:tc>
        <w:tc>
          <w:tcPr>
            <w:tcW w:type="dxa" w:w="3090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17</w:t>
            </w:r>
          </w:p>
        </w:tc>
        <w:tc>
          <w:tcPr>
            <w:tcW w:type="dxa" w:w="3090"/>
            <w:shd w:fill="CF3334" w:val="clear"/>
            <w:vAlign w:val="center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before="0" w:after="0" w:line="240" w:lineRule="auto"/>
              <w:jc w:val="left"/>
              <w:bidi w:val="0"/>
            </w:pPr>
            <w:r>
              <w:rPr>
                <w:rFonts w:ascii="DejaVu Sans" w:hAnsi="DejaVu Sans" w:cs="DejaVu Sans"/>
                <w:b/>
                <w:color w:val="FFFFFF"/>
                <w:sz w:val="13"/>
                <w:rtl w:val="0"/>
                <w:lang w:val="en-US"/>
              </w:rPr>
              <w:t>CF3334</w:t>
            </w:r>
          </w:p>
        </w:tc>
      </w:tr>
    </w:tbl>
    <w:p>
      <w:pPr>
        <w:pageBreakBefore/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/>
          <w:color w:val="16181A"/>
          <w:sz w:val="32"/>
          <w:rtl w:val="1"/>
          <w:lang w:bidi="ar-SA"/>
        </w:rPr>
        <w:t>ألوان الحالات المشتركة بين الوضعين</w:t>
      </w:r>
    </w:p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 w:val="0"/>
          <w:color w:val="4D4E52"/>
          <w:sz w:val="18"/>
          <w:rtl w:val="1"/>
          <w:lang w:bidi="ar-SA"/>
        </w:rPr>
        <w:t>ألوان الحالة لا تعبّر عن الزينة أو الأهمية البصرية فقط. يجب أن تكون مرتبطة بحالة حقيقية قادمة من النظام أو من حالة سير العمل المحفوظة.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</w:trPr>
        <w:tc>
          <w:tcPr>
            <w:tcW w:type="dxa" w:w="3090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المعنى</w:t>
            </w:r>
          </w:p>
        </w:tc>
        <w:tc>
          <w:tcPr>
            <w:tcW w:type="dxa" w:w="3090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الوضع الليلي</w:t>
            </w:r>
          </w:p>
        </w:tc>
        <w:tc>
          <w:tcPr>
            <w:tcW w:type="dxa" w:w="3090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الوضع النهاري</w:t>
            </w:r>
          </w:p>
        </w:tc>
        <w:tc>
          <w:tcPr>
            <w:tcW w:type="dxa" w:w="3090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الحالة التقنية</w:t>
            </w:r>
          </w:p>
        </w:tc>
        <w:tc>
          <w:tcPr>
            <w:tcW w:type="dxa" w:w="3090"/>
            <w:shd w:fill="E8E9EF" w:val="clear"/>
            <w:vAlign w:val="center"/>
            <w:tcMar>
              <w:top w:w="24" w:type="dxa"/>
              <w:start w:w="60" w:type="dxa"/>
              <w:bottom w:w="24" w:type="dxa"/>
              <w:end w:w="60" w:type="dxa"/>
            </w:tcMar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الاستخدام</w:t>
            </w:r>
          </w:p>
        </w:tc>
      </w:tr>
      <w:tr>
        <w:tc>
          <w:tcPr>
            <w:tcW w:type="dxa" w:w="3090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5"/>
                <w:rtl w:val="1"/>
                <w:lang w:bidi="ar-SA"/>
              </w:rPr>
              <w:t>تُستخدم عند نجاح حقيقي أو اعتماد حقيقي، وكذلك لحلقة الموظف عند عمله فعليًا.</w:t>
            </w:r>
          </w:p>
        </w:tc>
        <w:tc>
          <w:tcPr>
            <w:tcW w:type="dxa" w:w="3090"/>
            <w:shd w:fill="6BC64D" w:val="clear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#6BC64D</w:t>
            </w:r>
          </w:p>
        </w:tc>
        <w:tc>
          <w:tcPr>
            <w:tcW w:type="dxa" w:w="3090"/>
            <w:shd w:fill="49A65A" w:val="clear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#49A65A</w:t>
            </w:r>
          </w:p>
        </w:tc>
        <w:tc>
          <w:tcPr>
            <w:tcW w:type="dxa" w:w="3090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 Mono" w:hAnsi="DejaVu Sans Mono" w:cs="DejaVu Sans Mono"/>
                <w:b/>
                <w:color w:val="16181A"/>
                <w:sz w:val="14"/>
                <w:rtl w:val="0"/>
                <w:lang w:val="en-US"/>
              </w:rPr>
              <w:t>execution_status = running</w:t>
            </w:r>
          </w:p>
        </w:tc>
        <w:tc>
          <w:tcPr>
            <w:tcW w:type="dxa" w:w="3090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نجاح / يعمل الآن / معتمد</w:t>
            </w:r>
          </w:p>
        </w:tc>
      </w:tr>
      <w:tr>
        <w:tc>
          <w:tcPr>
            <w:tcW w:type="dxa" w:w="3090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5"/>
                <w:rtl w:val="1"/>
                <w:lang w:bidi="ar-SA"/>
              </w:rPr>
              <w:t>تُستخدم للمعلومات والنشاط والتقدم الذي لا يعني اعتمادًا نهائيًا.</w:t>
            </w:r>
          </w:p>
        </w:tc>
        <w:tc>
          <w:tcPr>
            <w:tcW w:type="dxa" w:w="3090"/>
            <w:shd w:fill="325BE4" w:val="clear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#325BE4</w:t>
            </w:r>
          </w:p>
        </w:tc>
        <w:tc>
          <w:tcPr>
            <w:tcW w:type="dxa" w:w="3090"/>
            <w:shd w:fill="548DE6" w:val="clear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#548DE6</w:t>
            </w:r>
          </w:p>
        </w:tc>
        <w:tc>
          <w:tcPr>
            <w:tcW w:type="dxa" w:w="3090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 w:val="0"/>
                <w:color w:val="16181A"/>
                <w:sz w:val="16"/>
                <w:rtl w:val="0"/>
                <w:lang w:val="en-US"/>
              </w:rPr>
              <w:t>—</w:t>
            </w:r>
          </w:p>
        </w:tc>
        <w:tc>
          <w:tcPr>
            <w:tcW w:type="dxa" w:w="3090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معلومة / نشاط / تقدم</w:t>
            </w:r>
          </w:p>
        </w:tc>
      </w:tr>
      <w:tr>
        <w:tc>
          <w:tcPr>
            <w:tcW w:type="dxa" w:w="3090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5"/>
                <w:rtl w:val="1"/>
                <w:lang w:bidi="ar-SA"/>
              </w:rPr>
              <w:t>تُستخدم عندما ينتظر النظام تأكيدًا أو عندما توجد حاجة واضحة لانتباه المالك.</w:t>
            </w:r>
          </w:p>
        </w:tc>
        <w:tc>
          <w:tcPr>
            <w:tcW w:type="dxa" w:w="3090"/>
            <w:shd w:fill="F48030" w:val="clear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#F48030</w:t>
            </w:r>
          </w:p>
        </w:tc>
        <w:tc>
          <w:tcPr>
            <w:tcW w:type="dxa" w:w="3090"/>
            <w:shd w:fill="FECC7C" w:val="clear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#FECC7C</w:t>
            </w:r>
          </w:p>
        </w:tc>
        <w:tc>
          <w:tcPr>
            <w:tcW w:type="dxa" w:w="3090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 Mono" w:hAnsi="DejaVu Sans Mono" w:cs="DejaVu Sans Mono"/>
                <w:b/>
                <w:color w:val="16181A"/>
                <w:sz w:val="14"/>
                <w:rtl w:val="0"/>
                <w:lang w:val="en-US"/>
              </w:rPr>
              <w:t>waiting_for_confirmation</w:t>
            </w:r>
          </w:p>
        </w:tc>
        <w:tc>
          <w:tcPr>
            <w:tcW w:type="dxa" w:w="3090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انتظار / يحتاج انتباه</w:t>
            </w:r>
          </w:p>
        </w:tc>
      </w:tr>
      <w:tr>
        <w:tc>
          <w:tcPr>
            <w:tcW w:type="dxa" w:w="3090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 w:val="0"/>
                <w:color w:val="16181A"/>
                <w:sz w:val="15"/>
                <w:rtl w:val="1"/>
                <w:lang w:bidi="ar-SA"/>
              </w:rPr>
              <w:t>تُستخدم للأخطاء والعوائق والنتائج المفتوحة والإجراءات الخطرة.</w:t>
            </w:r>
          </w:p>
        </w:tc>
        <w:tc>
          <w:tcPr>
            <w:tcW w:type="dxa" w:w="3090"/>
            <w:shd w:fill="CF3334" w:val="clear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#CF3334</w:t>
            </w:r>
          </w:p>
        </w:tc>
        <w:tc>
          <w:tcPr>
            <w:tcW w:type="dxa" w:w="3090"/>
            <w:shd w:fill="F1474B" w:val="clear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/>
                <w:color w:val="16181A"/>
                <w:sz w:val="15"/>
                <w:rtl w:val="0"/>
                <w:lang w:val="en-US"/>
              </w:rPr>
              <w:t>#F1474B</w:t>
            </w:r>
          </w:p>
        </w:tc>
        <w:tc>
          <w:tcPr>
            <w:tcW w:type="dxa" w:w="3090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0"/>
              <w:spacing w:before="0" w:after="0" w:line="240" w:lineRule="auto"/>
              <w:jc w:val="center"/>
            </w:pPr>
            <w:r>
              <w:rPr>
                <w:rFonts w:ascii="DejaVu Sans" w:hAnsi="DejaVu Sans" w:cs="DejaVu Sans"/>
                <w:b w:val="0"/>
                <w:color w:val="16181A"/>
                <w:sz w:val="16"/>
                <w:rtl w:val="0"/>
                <w:lang w:val="en-US"/>
              </w:rPr>
              <w:t>—</w:t>
            </w:r>
          </w:p>
        </w:tc>
        <w:tc>
          <w:tcPr>
            <w:tcW w:type="dxa" w:w="3090"/>
            <w:tcMar>
              <w:top w:w="20" w:type="dxa"/>
              <w:start w:w="60" w:type="dxa"/>
              <w:bottom w:w="20" w:type="dxa"/>
              <w:end w:w="60" w:type="dxa"/>
            </w:tcMar>
            <w:vAlign w:val="center"/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Noto Sans Arabic" w:hAnsi="Noto Sans Arabic" w:cs="Noto Sans Arabic"/>
                <w:b/>
                <w:color w:val="16181A"/>
                <w:sz w:val="16"/>
                <w:rtl w:val="1"/>
                <w:lang w:bidi="ar-SA"/>
              </w:rPr>
              <w:t>خطأ / عائق / نتيجة مفتوحة</w:t>
            </w:r>
          </w:p>
        </w:tc>
      </w:tr>
    </w:tbl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/>
          <w:color w:val="16181A"/>
          <w:sz w:val="28"/>
          <w:rtl w:val="1"/>
          <w:lang w:bidi="ar-SA"/>
        </w:rPr>
        <w:t>قواعد الاستخدام</w:t>
      </w:r>
    </w:p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 w:val="0"/>
          <w:color w:val="16181A"/>
          <w:sz w:val="18"/>
          <w:rtl w:val="1"/>
          <w:lang w:bidi="ar-SA"/>
        </w:rPr>
        <w:t>• الحلقة الخضراء حول الموظف تظهر فقط عندما يكون الموظف ينفذ عملًا فعليًا حسب حالة التنفيذ القادمة من النظام.</w:t>
      </w:r>
    </w:p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 w:val="0"/>
          <w:color w:val="16181A"/>
          <w:sz w:val="18"/>
          <w:rtl w:val="1"/>
          <w:lang w:bidi="ar-SA"/>
        </w:rPr>
        <w:t>• اللون الأحمر مخصص للخطأ أو العائق أو النتيجة المفتوحة أو الإجراء الخطر، وليس لمجرد جذب الانتباه.</w:t>
      </w:r>
    </w:p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 w:val="0"/>
          <w:color w:val="16181A"/>
          <w:sz w:val="18"/>
          <w:rtl w:val="1"/>
          <w:lang w:bidi="ar-SA"/>
        </w:rPr>
        <w:t>• اللون البرتقالي مخصص لحالات الانتظار أو الحاجة إلى انتباه المالك.</w:t>
      </w:r>
    </w:p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 w:val="0"/>
          <w:color w:val="16181A"/>
          <w:sz w:val="18"/>
          <w:rtl w:val="1"/>
          <w:lang w:bidi="ar-SA"/>
        </w:rPr>
        <w:t>• لون المرحلة يعرض حالة سير عمل حقيقية محفوظة في النظام، ولا يحدد المرحلة من تلقاء نفسه.</w:t>
      </w:r>
    </w:p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 w:val="0"/>
          <w:color w:val="16181A"/>
          <w:sz w:val="18"/>
          <w:rtl w:val="1"/>
          <w:lang w:bidi="ar-SA"/>
        </w:rPr>
        <w:t>• إذا لم تتوفر معلومة موثوقة من النظام فلا تُعرض حالة ملوّنة بديلة على أنها حقيقة.</w:t>
      </w:r>
    </w:p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 w:val="0"/>
          <w:color w:val="16181A"/>
          <w:sz w:val="18"/>
          <w:rtl w:val="1"/>
          <w:lang w:bidi="ar-SA"/>
        </w:rPr>
        <w:t>• صور الموظفين يمكن استخدامها في الواجهة، لكن ألوان الصور نفسها لا تدخل ضمن نظام ألوان المنتج.</w:t>
      </w:r>
    </w:p>
    <w:p>
      <w:pPr>
        <w:pageBreakBefore/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/>
          <w:color w:val="16181A"/>
          <w:sz w:val="32"/>
          <w:rtl w:val="1"/>
          <w:lang w:bidi="ar-SA"/>
        </w:rPr>
        <w:t>متغيرات الألوان الجاهزة للتنفيذ</w:t>
      </w:r>
    </w:p>
    <w:p>
      <w:pPr>
        <w:bidi w:val="0"/>
        <w:spacing w:before="0" w:after="0" w:line="240" w:lineRule="auto"/>
        <w:jc w:val="left"/>
      </w:pPr>
      <w:r>
        <w:rPr>
          <w:rFonts w:ascii="DejaVu Sans" w:hAnsi="DejaVu Sans" w:cs="DejaVu Sans"/>
          <w:b/>
          <w:color w:val="5B53D0"/>
          <w:sz w:val="20"/>
          <w:rtl w:val="0"/>
          <w:lang w:val="en-US"/>
        </w:rPr>
        <w:t>CSS Variables</w:t>
      </w:r>
    </w:p>
    <w:p>
      <w:pPr>
        <w:bidi w:val="1"/>
        <w:spacing w:before="0" w:after="0" w:line="240" w:lineRule="auto"/>
        <w:jc w:val="right"/>
      </w:pPr>
      <w:r>
        <w:rPr>
          <w:rFonts w:ascii="Noto Sans Arabic" w:hAnsi="Noto Sans Arabic" w:cs="Noto Sans Arabic"/>
          <w:b w:val="0"/>
          <w:color w:val="4D4E52"/>
          <w:sz w:val="18"/>
          <w:rtl w:val="1"/>
          <w:lang w:bidi="ar-SA"/>
        </w:rPr>
        <w:t>القيم التالية هي نفس القيم الموجودة في الجداول السابقة، لكن بصيغة مناسبة لملف ألوان الواجهة.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101827" w:val="clea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bidi w:val="0"/>
              <w:spacing w:before="0" w:after="0" w:line="240" w:lineRule="auto"/>
              <w:jc w:val="left"/>
            </w:pP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>/* MKDD color tokens */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>:root,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>[data-theme="light"] {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--mkdd-canvas: #FDFDFE;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--mkdd-page: #F7F6F9;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--mkdd-surface: #FFFFFF;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--mkdd-border-subtle: #EBEBEF;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--mkdd-border-strong: #D9D9DD;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--mkdd-text-primary: #16181A;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--mkdd-text-secondary: #4D4E52;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--mkdd-text-muted: #818287;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--mkdd-text-disabled: #ADAEB1;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--mkdd-accent: #5B53D0;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--mkdd-accent-soft: #8B8ADA;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--mkdd-info: #548DE6;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--mkdd-success: #49A65A;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--mkdd-warning: #FECC7C;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--mkdd-danger: #F1474B;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>}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>[data-theme="dark"] {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--mkdd-canvas: #020305;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--mkdd-page: #08111E;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--mkdd-surface: #0C1623;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--mkdd-surface-raised: #0E1B2A;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--mkdd-surface-hover: #192330;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--mkdd-border-subtle: #2B323A;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--mkdd-border-strong: #383F4A;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--mkdd-text-primary: #F7F6F7;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--mkdd-text-secondary: #9FA1A5;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--mkdd-text-muted: #74757A;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--mkdd-text-disabled: #4F4F51;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--mkdd-accent: #325BE4;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--mkdd-accent-deep: #1843A4;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--mkdd-accent-soft: #6F8BE4;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--mkdd-info: #325BE4;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--mkdd-success: #6BC64D;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--mkdd-warning: #F48030;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 xml:space="preserve">  --mkdd-danger: #CF3334;</w:t>
              <w:br/>
            </w:r>
            <w:r>
              <w:rPr>
                <w:rFonts w:ascii="DejaVu Sans Mono" w:hAnsi="DejaVu Sans Mono" w:cs="DejaVu Sans Mono"/>
                <w:b w:val="0"/>
                <w:color w:val="E8EDF5"/>
                <w:sz w:val="13"/>
                <w:rtl w:val="0"/>
                <w:lang w:val="en-US"/>
              </w:rPr>
              <w:t>}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  <w:bidi w:val="0"/>
    </w:pPr>
    <w:r>
      <w:rPr>
        <w:rFonts w:ascii="DejaVu Sans" w:hAnsi="DejaVu Sans" w:cs="DejaVu Sans"/>
        <w:b w:val="0"/>
        <w:color w:val="818287"/>
        <w:sz w:val="14"/>
        <w:rtl w:val="0"/>
        <w:lang w:val="en-US"/>
      </w:rPr>
      <w:t>MKDD UI Color System  |  Light / Dark  |  2026-08-14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