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B645A" w14:textId="77777777" w:rsidR="00000000" w:rsidRDefault="00000000">
      <w:pPr>
        <w:spacing w:before="100" w:beforeAutospacing="1" w:after="100" w:afterAutospacing="1"/>
      </w:pPr>
      <w:r>
        <w:rPr>
          <w:rStyle w:val="lev"/>
          <w:u w:val="single"/>
        </w:rPr>
        <w:t>EXPLICATION BAREME IRG 2020 APPLICABLE A PARTIR DU 01/06/2020</w:t>
      </w:r>
    </w:p>
    <w:p w14:paraId="20D58A3E" w14:textId="77777777" w:rsidR="00000000" w:rsidRDefault="00000000">
      <w:pPr>
        <w:pStyle w:val="auto-style4"/>
        <w:numPr>
          <w:ilvl w:val="0"/>
          <w:numId w:val="1"/>
        </w:numPr>
      </w:pPr>
      <w:r>
        <w:t xml:space="preserve">IRG2020  = 0  POUR LES SALAIRES IMPOSABLES &lt;=30.000,00 DA   </w:t>
      </w:r>
    </w:p>
    <w:p w14:paraId="3B25332E" w14:textId="77777777" w:rsidR="00000000" w:rsidRDefault="00000000">
      <w:pPr>
        <w:pStyle w:val="auto-style4"/>
        <w:numPr>
          <w:ilvl w:val="0"/>
          <w:numId w:val="1"/>
        </w:numPr>
      </w:pPr>
      <w:r>
        <w:t>IRG2020  = IRG2008 *8/3-20000/3   POUR LES SALAIRES IMPOSABLES &gt;30.000,00 et &lt;35.000,00 DA</w:t>
      </w:r>
    </w:p>
    <w:p w14:paraId="1D295091" w14:textId="77777777" w:rsidR="00000000" w:rsidRDefault="00000000">
      <w:pPr>
        <w:pStyle w:val="auto-style4"/>
        <w:numPr>
          <w:ilvl w:val="0"/>
          <w:numId w:val="1"/>
        </w:numPr>
      </w:pPr>
      <w:r>
        <w:t xml:space="preserve">IRG2020  = IRG2008 POUR LES SALAIRES IMPOSABLES &gt;=35.000,00 </w:t>
      </w:r>
    </w:p>
    <w:p w14:paraId="550490E2" w14:textId="77777777" w:rsidR="00000000" w:rsidRDefault="00000000">
      <w:pPr>
        <w:pStyle w:val="auto-style2"/>
      </w:pPr>
      <w:r>
        <w:rPr>
          <w:rStyle w:val="auto-style51"/>
          <w:color w:val="000000"/>
          <w:sz w:val="27"/>
          <w:szCs w:val="27"/>
        </w:rPr>
        <w:t>Travailleurs handicapés moteurs..</w:t>
      </w:r>
      <w:r>
        <w:rPr>
          <w:color w:val="000000"/>
          <w:sz w:val="27"/>
          <w:szCs w:val="27"/>
          <w:shd w:val="clear" w:color="auto" w:fill="FFFF00"/>
        </w:rPr>
        <w:br/>
      </w:r>
    </w:p>
    <w:p w14:paraId="2B370F83" w14:textId="77777777" w:rsidR="00000000" w:rsidRDefault="00000000">
      <w:pPr>
        <w:rPr>
          <w:rFonts w:eastAsia="Times New Roman"/>
        </w:rPr>
      </w:pPr>
      <w:r>
        <w:rPr>
          <w:rStyle w:val="lev"/>
          <w:rFonts w:eastAsia="Times New Roman"/>
          <w:shd w:val="clear" w:color="auto" w:fill="FFFFFF"/>
        </w:rPr>
        <w:t xml:space="preserve">Le 2° abattement concernant  </w:t>
      </w:r>
      <w:r>
        <w:rPr>
          <w:rStyle w:val="lev"/>
          <w:rFonts w:eastAsia="Times New Roman"/>
          <w:color w:val="000000"/>
          <w:shd w:val="clear" w:color="auto" w:fill="FFFF00"/>
        </w:rPr>
        <w:t>les travailleurs handicapés moteurs</w:t>
      </w:r>
      <w:r>
        <w:rPr>
          <w:rStyle w:val="auto-style51"/>
          <w:rFonts w:eastAsia="Times New Roman"/>
          <w:color w:val="000000"/>
          <w:shd w:val="clear" w:color="auto" w:fill="FFFF00"/>
        </w:rPr>
        <w:t>..  (JO 49  DU , 29/08/2010) ne sera plus appliqué</w:t>
      </w:r>
    </w:p>
    <w:p w14:paraId="7A5ACD28" w14:textId="77777777" w:rsidR="00000000" w:rsidRDefault="00000000">
      <w:pPr>
        <w:pStyle w:val="auto-style4"/>
        <w:numPr>
          <w:ilvl w:val="0"/>
          <w:numId w:val="2"/>
        </w:numPr>
      </w:pPr>
      <w:r>
        <w:t xml:space="preserve">IRG2020  = 0  POUR LES SALAIRES IMPOSABLES &lt;=30.000,00 DA   </w:t>
      </w:r>
    </w:p>
    <w:p w14:paraId="087D7D0F" w14:textId="77777777" w:rsidR="00000000" w:rsidRDefault="00000000">
      <w:pPr>
        <w:numPr>
          <w:ilvl w:val="0"/>
          <w:numId w:val="2"/>
        </w:numPr>
        <w:spacing w:before="100" w:beforeAutospacing="1" w:after="100" w:afterAutospacing="1"/>
        <w:rPr>
          <w:rFonts w:eastAsia="Times New Roman"/>
        </w:rPr>
      </w:pPr>
      <w:r>
        <w:rPr>
          <w:rFonts w:eastAsia="Times New Roman"/>
        </w:rPr>
        <w:t>IRG2020  = IRG2008 *5/3-12500/3   POUR LES SALAIRES IMPOSABLES &gt;30.000,00 et &lt;40.000,00 DA</w:t>
      </w:r>
    </w:p>
    <w:p w14:paraId="51334FF0" w14:textId="77777777" w:rsidR="00000000" w:rsidRDefault="00000000">
      <w:pPr>
        <w:numPr>
          <w:ilvl w:val="0"/>
          <w:numId w:val="2"/>
        </w:numPr>
        <w:spacing w:before="100" w:beforeAutospacing="1" w:after="100" w:afterAutospacing="1"/>
        <w:rPr>
          <w:rFonts w:eastAsia="Times New Roman"/>
        </w:rPr>
      </w:pPr>
      <w:r>
        <w:rPr>
          <w:rFonts w:eastAsia="Times New Roman"/>
        </w:rPr>
        <w:t xml:space="preserve">IRG2020  = IRG2008 POUR LES SALAIRES IMPOSABLES &gt;=40.000,00 </w:t>
      </w:r>
    </w:p>
    <w:p w14:paraId="388E7976" w14:textId="77777777" w:rsidR="00000000" w:rsidRDefault="00000000">
      <w:pPr>
        <w:pStyle w:val="auto-style2"/>
      </w:pPr>
      <w:r>
        <w:t xml:space="preserve">Pour imprimer le barème  d'une tranche de salaires Voir </w:t>
      </w:r>
      <w:hyperlink r:id="rId5" w:history="1">
        <w:r>
          <w:rPr>
            <w:rStyle w:val="Lienhypertexte"/>
          </w:rPr>
          <w:t>Ici</w:t>
        </w:r>
      </w:hyperlink>
    </w:p>
    <w:p w14:paraId="4CD68473" w14:textId="77777777" w:rsidR="00000000" w:rsidRDefault="00000000">
      <w:pPr>
        <w:pStyle w:val="auto-style2"/>
      </w:pPr>
      <w:r>
        <w:t> </w:t>
      </w:r>
    </w:p>
    <w:p w14:paraId="5CA40EC9" w14:textId="77777777" w:rsidR="00000000" w:rsidRDefault="00000000">
      <w:pPr>
        <w:pStyle w:val="auto-style2"/>
      </w:pPr>
      <w:r>
        <w:t xml:space="preserve"> REFERENCES </w:t>
      </w:r>
    </w:p>
    <w:p w14:paraId="1CD81B26" w14:textId="77777777" w:rsidR="00000000" w:rsidRDefault="00000000">
      <w:pPr>
        <w:pStyle w:val="auto-style2"/>
      </w:pPr>
      <w:r>
        <w:br/>
        <w:t>JO N° 33 DU 04/06/2020</w:t>
      </w:r>
    </w:p>
    <w:p w14:paraId="29964A63" w14:textId="77777777" w:rsidR="00000000" w:rsidRDefault="00000000">
      <w:pPr>
        <w:pStyle w:val="auto-style2"/>
      </w:pPr>
      <w:r>
        <w:t>« Art. 104. — L’impôt sur le revenu global est calculé suivant le barème progressif ............... (sans changement jusqu’à) (soit entre 1.000 et 1.500DA /mois).</w:t>
      </w:r>
      <w:r>
        <w:br/>
        <w:t xml:space="preserve">Bénéficient d’une exonération totale de l’IRG les revenus qui n’excèdent pas 30.000 dinars. </w:t>
      </w:r>
      <w:r>
        <w:br/>
        <w:t>Les revenus supérieurs à 30.000 dinars et inférieurs à 35.000 dinars bénéficient d’un deuxième abattement supplémentaire. L’IRG dû est déterminé, pour cette catégorie de revenu, selon la formule suivante :</w:t>
      </w:r>
      <w:r>
        <w:br/>
        <w:t>IRG = IRG (selon le premier abattement) * (8/3) – (20 000/3).</w:t>
      </w:r>
      <w:r>
        <w:br/>
        <w:t>En outre, les revenus supérieurs à 30.000 dinars et inférieurs à 40.000 dinars des travailleurs handicapés moteurs, mentaux, non-voyants ou sourds-muets, ainsi que les travailleurs retraités du régime général bénéficient d’un abattement supplémentaire sur le montant de l’impôt sur le revenu global, non cumulable avec le deuxième abattement suscité. L’IRG dû est déterminé, pour cette catégorie de revenu, selon la formule suivante :</w:t>
      </w:r>
      <w:r>
        <w:br/>
        <w:t>IRG = IRG (selon le premier abattement) * (5/3) – (12 500/3).</w:t>
      </w:r>
      <w:r>
        <w:br/>
        <w:t> </w:t>
      </w:r>
    </w:p>
    <w:p w14:paraId="05B079AE" w14:textId="77777777" w:rsidR="00000000" w:rsidRDefault="00000000">
      <w:pPr>
        <w:pStyle w:val="auto-style1"/>
      </w:pPr>
      <w:r>
        <w:rPr>
          <w:u w:val="single"/>
        </w:rPr>
        <w:t>BAREME IRG 2008 RAMENE AU MOIS</w:t>
      </w:r>
    </w:p>
    <w:p w14:paraId="5E38C726" w14:textId="77777777" w:rsidR="00000000" w:rsidRDefault="00000000">
      <w:pPr>
        <w:pStyle w:val="auto-style1"/>
      </w:pPr>
      <w:r>
        <w:t>JO N° 82  DU 31/12/2007  Art. 104.  L'impôt sur le revenu global est calculé suivant le barème progressif ci-après(*)</w:t>
      </w:r>
    </w:p>
    <w:p w14:paraId="433CECD3" w14:textId="77777777" w:rsidR="00000000" w:rsidRDefault="00000000">
      <w:pPr>
        <w:pStyle w:val="NormalWeb"/>
      </w:pPr>
      <w:r>
        <w:lastRenderedPageBreak/>
        <w:t xml:space="preserve">L'impôt sur le revenu global (IRG) est calculé suivant le barème progressif ci-dessous </w:t>
      </w:r>
    </w:p>
    <w:tbl>
      <w:tblPr>
        <w:tblW w:w="846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61"/>
        <w:gridCol w:w="3461"/>
        <w:gridCol w:w="1138"/>
      </w:tblGrid>
      <w:tr w:rsidR="00000000" w14:paraId="4874F3A1" w14:textId="77777777">
        <w:trPr>
          <w:tblCellSpacing w:w="15" w:type="dxa"/>
        </w:trPr>
        <w:tc>
          <w:tcPr>
            <w:tcW w:w="3720" w:type="dxa"/>
            <w:tcBorders>
              <w:top w:val="outset" w:sz="6" w:space="0" w:color="auto"/>
              <w:left w:val="outset" w:sz="6" w:space="0" w:color="auto"/>
              <w:bottom w:val="outset" w:sz="6" w:space="0" w:color="auto"/>
              <w:right w:val="outset" w:sz="6" w:space="0" w:color="auto"/>
            </w:tcBorders>
            <w:shd w:val="clear" w:color="auto" w:fill="D6E7FF"/>
            <w:vAlign w:val="center"/>
            <w:hideMark/>
          </w:tcPr>
          <w:p w14:paraId="13562356" w14:textId="77777777" w:rsidR="00000000" w:rsidRDefault="00000000">
            <w:pPr>
              <w:jc w:val="center"/>
              <w:rPr>
                <w:rFonts w:eastAsia="Times New Roman"/>
              </w:rPr>
            </w:pPr>
            <w:r>
              <w:rPr>
                <w:rStyle w:val="lev"/>
                <w:rFonts w:eastAsia="Times New Roman"/>
              </w:rPr>
              <w:t xml:space="preserve">TRANCHE IMPOSABLE </w:t>
            </w:r>
          </w:p>
        </w:tc>
        <w:tc>
          <w:tcPr>
            <w:tcW w:w="3345" w:type="dxa"/>
            <w:tcBorders>
              <w:top w:val="outset" w:sz="6" w:space="0" w:color="auto"/>
              <w:left w:val="outset" w:sz="6" w:space="0" w:color="auto"/>
              <w:bottom w:val="outset" w:sz="6" w:space="0" w:color="auto"/>
              <w:right w:val="outset" w:sz="6" w:space="0" w:color="auto"/>
            </w:tcBorders>
            <w:shd w:val="clear" w:color="auto" w:fill="D6E7FF"/>
            <w:vAlign w:val="center"/>
            <w:hideMark/>
          </w:tcPr>
          <w:p w14:paraId="6A96550F" w14:textId="77777777" w:rsidR="00000000" w:rsidRDefault="00000000">
            <w:pPr>
              <w:jc w:val="center"/>
              <w:rPr>
                <w:rFonts w:eastAsia="Times New Roman"/>
              </w:rPr>
            </w:pPr>
            <w:r>
              <w:rPr>
                <w:rFonts w:eastAsia="Times New Roman"/>
              </w:rPr>
              <w:t xml:space="preserve">ETENDUE DE LA TRANCHE </w:t>
            </w:r>
          </w:p>
        </w:tc>
        <w:tc>
          <w:tcPr>
            <w:tcW w:w="1065" w:type="dxa"/>
            <w:tcBorders>
              <w:top w:val="outset" w:sz="6" w:space="0" w:color="auto"/>
              <w:left w:val="outset" w:sz="6" w:space="0" w:color="auto"/>
              <w:bottom w:val="outset" w:sz="6" w:space="0" w:color="auto"/>
              <w:right w:val="outset" w:sz="6" w:space="0" w:color="auto"/>
            </w:tcBorders>
            <w:shd w:val="clear" w:color="auto" w:fill="D6E7FF"/>
            <w:vAlign w:val="center"/>
            <w:hideMark/>
          </w:tcPr>
          <w:p w14:paraId="244A10D8" w14:textId="77777777" w:rsidR="00000000" w:rsidRDefault="00000000">
            <w:pPr>
              <w:jc w:val="center"/>
              <w:rPr>
                <w:rFonts w:eastAsia="Times New Roman"/>
              </w:rPr>
            </w:pPr>
            <w:r>
              <w:rPr>
                <w:rFonts w:eastAsia="Times New Roman"/>
              </w:rPr>
              <w:t>%</w:t>
            </w:r>
          </w:p>
        </w:tc>
      </w:tr>
      <w:tr w:rsidR="00000000" w14:paraId="522FAE5A" w14:textId="77777777">
        <w:trPr>
          <w:tblCellSpacing w:w="15" w:type="dxa"/>
        </w:trPr>
        <w:tc>
          <w:tcPr>
            <w:tcW w:w="3720" w:type="dxa"/>
            <w:tcBorders>
              <w:top w:val="outset" w:sz="6" w:space="0" w:color="auto"/>
              <w:left w:val="outset" w:sz="6" w:space="0" w:color="auto"/>
              <w:bottom w:val="outset" w:sz="6" w:space="0" w:color="auto"/>
              <w:right w:val="outset" w:sz="6" w:space="0" w:color="auto"/>
            </w:tcBorders>
            <w:vAlign w:val="center"/>
            <w:hideMark/>
          </w:tcPr>
          <w:p w14:paraId="49B33411" w14:textId="77777777" w:rsidR="00000000" w:rsidRDefault="00000000">
            <w:pPr>
              <w:rPr>
                <w:rFonts w:eastAsia="Times New Roman"/>
              </w:rPr>
            </w:pPr>
            <w:r>
              <w:rPr>
                <w:rFonts w:eastAsia="Times New Roman"/>
              </w:rPr>
              <w:t>N'EXCEDANT PAS 10.000 </w:t>
            </w:r>
          </w:p>
        </w:tc>
        <w:tc>
          <w:tcPr>
            <w:tcW w:w="3345" w:type="dxa"/>
            <w:tcBorders>
              <w:top w:val="outset" w:sz="6" w:space="0" w:color="auto"/>
              <w:left w:val="outset" w:sz="6" w:space="0" w:color="auto"/>
              <w:bottom w:val="outset" w:sz="6" w:space="0" w:color="auto"/>
              <w:right w:val="outset" w:sz="6" w:space="0" w:color="auto"/>
            </w:tcBorders>
            <w:vAlign w:val="center"/>
            <w:hideMark/>
          </w:tcPr>
          <w:p w14:paraId="7AE13C13" w14:textId="77777777" w:rsidR="00000000" w:rsidRDefault="00000000">
            <w:pPr>
              <w:jc w:val="center"/>
              <w:rPr>
                <w:rFonts w:eastAsia="Times New Roman"/>
              </w:rPr>
            </w:pPr>
            <w:r>
              <w:rPr>
                <w:rFonts w:eastAsia="Times New Roman"/>
              </w:rPr>
              <w:t>10.000</w:t>
            </w:r>
          </w:p>
        </w:tc>
        <w:tc>
          <w:tcPr>
            <w:tcW w:w="1065" w:type="dxa"/>
            <w:tcBorders>
              <w:top w:val="outset" w:sz="6" w:space="0" w:color="auto"/>
              <w:left w:val="outset" w:sz="6" w:space="0" w:color="auto"/>
              <w:bottom w:val="outset" w:sz="6" w:space="0" w:color="auto"/>
              <w:right w:val="outset" w:sz="6" w:space="0" w:color="auto"/>
            </w:tcBorders>
            <w:vAlign w:val="center"/>
            <w:hideMark/>
          </w:tcPr>
          <w:p w14:paraId="2DCAA52E" w14:textId="77777777" w:rsidR="00000000" w:rsidRDefault="00000000">
            <w:pPr>
              <w:jc w:val="center"/>
              <w:rPr>
                <w:rFonts w:eastAsia="Times New Roman"/>
              </w:rPr>
            </w:pPr>
            <w:r>
              <w:rPr>
                <w:rFonts w:eastAsia="Times New Roman"/>
              </w:rPr>
              <w:t>0 %</w:t>
            </w:r>
          </w:p>
        </w:tc>
      </w:tr>
      <w:tr w:rsidR="00000000" w14:paraId="6EF6E5E8" w14:textId="77777777">
        <w:trPr>
          <w:tblCellSpacing w:w="15" w:type="dxa"/>
        </w:trPr>
        <w:tc>
          <w:tcPr>
            <w:tcW w:w="3720" w:type="dxa"/>
            <w:tcBorders>
              <w:top w:val="outset" w:sz="6" w:space="0" w:color="auto"/>
              <w:left w:val="outset" w:sz="6" w:space="0" w:color="auto"/>
              <w:bottom w:val="outset" w:sz="6" w:space="0" w:color="auto"/>
              <w:right w:val="outset" w:sz="6" w:space="0" w:color="auto"/>
            </w:tcBorders>
            <w:vAlign w:val="center"/>
            <w:hideMark/>
          </w:tcPr>
          <w:p w14:paraId="0A4087F8" w14:textId="77777777" w:rsidR="00000000" w:rsidRDefault="00000000">
            <w:pPr>
              <w:rPr>
                <w:rFonts w:eastAsia="Times New Roman"/>
              </w:rPr>
            </w:pPr>
            <w:r>
              <w:rPr>
                <w:rFonts w:eastAsia="Times New Roman"/>
              </w:rPr>
              <w:t>10.001 --&gt; 30.000</w:t>
            </w:r>
          </w:p>
        </w:tc>
        <w:tc>
          <w:tcPr>
            <w:tcW w:w="3345" w:type="dxa"/>
            <w:tcBorders>
              <w:top w:val="outset" w:sz="6" w:space="0" w:color="auto"/>
              <w:left w:val="outset" w:sz="6" w:space="0" w:color="auto"/>
              <w:bottom w:val="outset" w:sz="6" w:space="0" w:color="auto"/>
              <w:right w:val="outset" w:sz="6" w:space="0" w:color="auto"/>
            </w:tcBorders>
            <w:vAlign w:val="center"/>
            <w:hideMark/>
          </w:tcPr>
          <w:p w14:paraId="68ACDD54" w14:textId="77777777" w:rsidR="00000000" w:rsidRDefault="00000000">
            <w:pPr>
              <w:jc w:val="center"/>
              <w:rPr>
                <w:rFonts w:eastAsia="Times New Roman"/>
              </w:rPr>
            </w:pPr>
            <w:r>
              <w:rPr>
                <w:rFonts w:eastAsia="Times New Roman"/>
              </w:rPr>
              <w:t>20.000</w:t>
            </w:r>
          </w:p>
        </w:tc>
        <w:tc>
          <w:tcPr>
            <w:tcW w:w="1065" w:type="dxa"/>
            <w:tcBorders>
              <w:top w:val="outset" w:sz="6" w:space="0" w:color="auto"/>
              <w:left w:val="outset" w:sz="6" w:space="0" w:color="auto"/>
              <w:bottom w:val="outset" w:sz="6" w:space="0" w:color="auto"/>
              <w:right w:val="outset" w:sz="6" w:space="0" w:color="auto"/>
            </w:tcBorders>
            <w:vAlign w:val="center"/>
            <w:hideMark/>
          </w:tcPr>
          <w:p w14:paraId="4AB3CE1C" w14:textId="77777777" w:rsidR="00000000" w:rsidRDefault="00000000">
            <w:pPr>
              <w:jc w:val="center"/>
              <w:rPr>
                <w:rFonts w:eastAsia="Times New Roman"/>
              </w:rPr>
            </w:pPr>
            <w:r>
              <w:rPr>
                <w:rFonts w:eastAsia="Times New Roman"/>
              </w:rPr>
              <w:t>20 %</w:t>
            </w:r>
          </w:p>
        </w:tc>
      </w:tr>
      <w:tr w:rsidR="00000000" w14:paraId="4BEA9B1E" w14:textId="77777777">
        <w:trPr>
          <w:tblCellSpacing w:w="15" w:type="dxa"/>
        </w:trPr>
        <w:tc>
          <w:tcPr>
            <w:tcW w:w="3720" w:type="dxa"/>
            <w:tcBorders>
              <w:top w:val="outset" w:sz="6" w:space="0" w:color="auto"/>
              <w:left w:val="outset" w:sz="6" w:space="0" w:color="auto"/>
              <w:bottom w:val="outset" w:sz="6" w:space="0" w:color="auto"/>
              <w:right w:val="outset" w:sz="6" w:space="0" w:color="auto"/>
            </w:tcBorders>
            <w:vAlign w:val="center"/>
            <w:hideMark/>
          </w:tcPr>
          <w:p w14:paraId="10DED80A" w14:textId="77777777" w:rsidR="00000000" w:rsidRDefault="00000000">
            <w:pPr>
              <w:rPr>
                <w:rFonts w:eastAsia="Times New Roman"/>
              </w:rPr>
            </w:pPr>
            <w:r>
              <w:rPr>
                <w:rFonts w:eastAsia="Times New Roman"/>
              </w:rPr>
              <w:t>30.001 --&gt;120.000</w:t>
            </w:r>
          </w:p>
        </w:tc>
        <w:tc>
          <w:tcPr>
            <w:tcW w:w="3345" w:type="dxa"/>
            <w:tcBorders>
              <w:top w:val="outset" w:sz="6" w:space="0" w:color="auto"/>
              <w:left w:val="outset" w:sz="6" w:space="0" w:color="auto"/>
              <w:bottom w:val="outset" w:sz="6" w:space="0" w:color="auto"/>
              <w:right w:val="outset" w:sz="6" w:space="0" w:color="auto"/>
            </w:tcBorders>
            <w:vAlign w:val="center"/>
            <w:hideMark/>
          </w:tcPr>
          <w:p w14:paraId="5012BAB1" w14:textId="77777777" w:rsidR="00000000" w:rsidRDefault="00000000">
            <w:pPr>
              <w:jc w:val="center"/>
              <w:rPr>
                <w:rFonts w:eastAsia="Times New Roman"/>
              </w:rPr>
            </w:pPr>
            <w:r>
              <w:rPr>
                <w:rFonts w:eastAsia="Times New Roman"/>
              </w:rPr>
              <w:t>90.000</w:t>
            </w:r>
          </w:p>
        </w:tc>
        <w:tc>
          <w:tcPr>
            <w:tcW w:w="1065" w:type="dxa"/>
            <w:tcBorders>
              <w:top w:val="outset" w:sz="6" w:space="0" w:color="auto"/>
              <w:left w:val="outset" w:sz="6" w:space="0" w:color="auto"/>
              <w:bottom w:val="outset" w:sz="6" w:space="0" w:color="auto"/>
              <w:right w:val="outset" w:sz="6" w:space="0" w:color="auto"/>
            </w:tcBorders>
            <w:vAlign w:val="center"/>
            <w:hideMark/>
          </w:tcPr>
          <w:p w14:paraId="799107F1" w14:textId="77777777" w:rsidR="00000000" w:rsidRDefault="00000000">
            <w:pPr>
              <w:jc w:val="center"/>
              <w:rPr>
                <w:rFonts w:eastAsia="Times New Roman"/>
              </w:rPr>
            </w:pPr>
            <w:r>
              <w:rPr>
                <w:rFonts w:eastAsia="Times New Roman"/>
              </w:rPr>
              <w:t>30 %</w:t>
            </w:r>
          </w:p>
        </w:tc>
      </w:tr>
      <w:tr w:rsidR="00000000" w14:paraId="62610550" w14:textId="77777777">
        <w:trPr>
          <w:tblCellSpacing w:w="15" w:type="dxa"/>
        </w:trPr>
        <w:tc>
          <w:tcPr>
            <w:tcW w:w="3720" w:type="dxa"/>
            <w:tcBorders>
              <w:top w:val="outset" w:sz="6" w:space="0" w:color="auto"/>
              <w:left w:val="outset" w:sz="6" w:space="0" w:color="auto"/>
              <w:bottom w:val="outset" w:sz="6" w:space="0" w:color="auto"/>
              <w:right w:val="outset" w:sz="6" w:space="0" w:color="auto"/>
            </w:tcBorders>
            <w:vAlign w:val="center"/>
            <w:hideMark/>
          </w:tcPr>
          <w:p w14:paraId="024D9D67" w14:textId="77777777" w:rsidR="00000000" w:rsidRDefault="00000000">
            <w:pPr>
              <w:rPr>
                <w:rFonts w:eastAsia="Times New Roman"/>
              </w:rPr>
            </w:pPr>
            <w:r>
              <w:rPr>
                <w:rFonts w:eastAsia="Times New Roman"/>
              </w:rPr>
              <w:t>SUPERIEUR A 120.000  </w:t>
            </w:r>
          </w:p>
        </w:tc>
        <w:tc>
          <w:tcPr>
            <w:tcW w:w="3345" w:type="dxa"/>
            <w:tcBorders>
              <w:top w:val="outset" w:sz="6" w:space="0" w:color="auto"/>
              <w:left w:val="outset" w:sz="6" w:space="0" w:color="auto"/>
              <w:bottom w:val="outset" w:sz="6" w:space="0" w:color="auto"/>
              <w:right w:val="outset" w:sz="6" w:space="0" w:color="auto"/>
            </w:tcBorders>
            <w:vAlign w:val="center"/>
            <w:hideMark/>
          </w:tcPr>
          <w:p w14:paraId="769C212D" w14:textId="77777777" w:rsidR="00000000" w:rsidRDefault="00000000">
            <w:pPr>
              <w:rPr>
                <w:rFonts w:eastAsia="Times New Roman"/>
              </w:rPr>
            </w:pPr>
            <w:r>
              <w:rPr>
                <w:rFonts w:eastAsia="Times New Roman"/>
              </w:rPr>
              <w:t> </w:t>
            </w:r>
          </w:p>
        </w:tc>
        <w:tc>
          <w:tcPr>
            <w:tcW w:w="1065" w:type="dxa"/>
            <w:tcBorders>
              <w:top w:val="outset" w:sz="6" w:space="0" w:color="auto"/>
              <w:left w:val="outset" w:sz="6" w:space="0" w:color="auto"/>
              <w:bottom w:val="outset" w:sz="6" w:space="0" w:color="auto"/>
              <w:right w:val="outset" w:sz="6" w:space="0" w:color="auto"/>
            </w:tcBorders>
            <w:vAlign w:val="center"/>
            <w:hideMark/>
          </w:tcPr>
          <w:p w14:paraId="5EB1B45C" w14:textId="77777777" w:rsidR="00000000" w:rsidRDefault="00000000">
            <w:pPr>
              <w:jc w:val="center"/>
              <w:rPr>
                <w:rFonts w:eastAsia="Times New Roman"/>
              </w:rPr>
            </w:pPr>
            <w:r>
              <w:rPr>
                <w:rFonts w:eastAsia="Times New Roman"/>
              </w:rPr>
              <w:t>35 %</w:t>
            </w:r>
          </w:p>
        </w:tc>
      </w:tr>
    </w:tbl>
    <w:p w14:paraId="3F15AA60" w14:textId="77777777" w:rsidR="00000000" w:rsidRDefault="00000000">
      <w:pPr>
        <w:pStyle w:val="NormalWeb"/>
      </w:pPr>
      <w:r>
        <w:t>Dans chaque tranche il ya un ABATTEMENT de 40 %  MINIMUM=1.000 DA  MAXIMUM=1.500 DA</w:t>
      </w:r>
    </w:p>
    <w:p w14:paraId="3D35F653" w14:textId="77777777" w:rsidR="00000000" w:rsidRDefault="00000000">
      <w:pPr>
        <w:spacing w:before="100" w:beforeAutospacing="1" w:after="100" w:afterAutospacing="1"/>
      </w:pPr>
      <w:r>
        <w:t>(</w:t>
      </w:r>
      <w:r>
        <w:rPr>
          <w:u w:val="single"/>
        </w:rPr>
        <w:t xml:space="preserve"> JO N° 49 du 29 août 2010 Page 3 Chapitre 2 Section 1 Article 2</w:t>
      </w:r>
      <w:r>
        <w:t>)</w:t>
      </w:r>
    </w:p>
    <w:p w14:paraId="5A3792A3" w14:textId="77777777" w:rsidR="00000000" w:rsidRDefault="00000000">
      <w:pPr>
        <w:rPr>
          <w:rFonts w:eastAsia="Times New Roman"/>
        </w:rPr>
      </w:pPr>
      <w:r>
        <w:rPr>
          <w:rFonts w:eastAsia="Times New Roman"/>
          <w:color w:val="000000"/>
          <w:sz w:val="28"/>
          <w:szCs w:val="28"/>
          <w:shd w:val="clear" w:color="auto" w:fill="FFFF00"/>
        </w:rPr>
        <w:t>En outre, les revenus des travailleurs handicapés moteurs, mentaux, non-voyants ou sourds-muets, ainsi que les travailleurs retraités du régime général bénéficient d'un abattement supplémentaire sur le montant de l'impôt sur le revenu global, dans la limite de 1.000 DA par mois, égal à :</w:t>
      </w:r>
      <w:r>
        <w:rPr>
          <w:rFonts w:eastAsia="Times New Roman"/>
          <w:color w:val="000000"/>
          <w:sz w:val="28"/>
          <w:szCs w:val="28"/>
          <w:shd w:val="clear" w:color="auto" w:fill="FFFF00"/>
        </w:rPr>
        <w:br/>
        <w:t>- 80%    pour un revenu supérieur ou égal à 20.000 DA et inférieur à 25.000 DA;</w:t>
      </w:r>
      <w:r>
        <w:rPr>
          <w:rFonts w:eastAsia="Times New Roman"/>
          <w:color w:val="000000"/>
          <w:sz w:val="28"/>
          <w:szCs w:val="28"/>
          <w:shd w:val="clear" w:color="auto" w:fill="FFFF00"/>
        </w:rPr>
        <w:br/>
        <w:t>- 60%    pour un revenu supérieur ou égal à 25.000 DA et inférieur à 30.000 DA;</w:t>
      </w:r>
      <w:r>
        <w:rPr>
          <w:rFonts w:eastAsia="Times New Roman"/>
          <w:color w:val="000000"/>
          <w:sz w:val="28"/>
          <w:szCs w:val="28"/>
          <w:shd w:val="clear" w:color="auto" w:fill="FFFF00"/>
        </w:rPr>
        <w:br/>
        <w:t>- 30%    pour un revenu supérieur ou égal à 30.000 DA et inférieur à 35.000 DA;</w:t>
      </w:r>
      <w:r>
        <w:rPr>
          <w:rFonts w:eastAsia="Times New Roman"/>
          <w:color w:val="000000"/>
          <w:sz w:val="28"/>
          <w:szCs w:val="28"/>
          <w:shd w:val="clear" w:color="auto" w:fill="FFFF00"/>
        </w:rPr>
        <w:br/>
        <w:t>- 10%    pour un revenu supérieur ou égal à 35.000 DA et inférieur à 40.000 DA;</w:t>
      </w:r>
      <w:r>
        <w:rPr>
          <w:rFonts w:eastAsia="Times New Roman"/>
          <w:u w:val="single"/>
        </w:rPr>
        <w:br/>
        <w:t xml:space="preserve">Article 2 </w:t>
      </w:r>
      <w:r>
        <w:rPr>
          <w:rFonts w:eastAsia="Times New Roman"/>
          <w:color w:val="000000"/>
          <w:sz w:val="28"/>
          <w:szCs w:val="28"/>
          <w:shd w:val="clear" w:color="auto" w:fill="FFFF00"/>
        </w:rPr>
        <w:t>Les dispositions spécifiques relatives à l'abattement de l'IRG visé à l'article précédent s'appliquent à compter de 1 er janvier 2010.</w:t>
      </w:r>
    </w:p>
    <w:p w14:paraId="210151CE" w14:textId="77777777" w:rsidR="00000000" w:rsidRDefault="00000000">
      <w:pPr>
        <w:spacing w:before="100" w:beforeAutospacing="1" w:after="100" w:afterAutospacing="1"/>
      </w:pPr>
      <w:r>
        <w:t> </w:t>
      </w:r>
    </w:p>
    <w:p w14:paraId="4AAC1677" w14:textId="77777777" w:rsidR="008E5637" w:rsidRDefault="00000000">
      <w:pPr>
        <w:spacing w:before="100" w:beforeAutospacing="1" w:after="100" w:afterAutospacing="1"/>
      </w:pPr>
      <w:r>
        <w:t> </w:t>
      </w:r>
    </w:p>
    <w:sectPr w:rsidR="008E563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31761"/>
    <w:multiLevelType w:val="multilevel"/>
    <w:tmpl w:val="457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A14A7"/>
    <w:multiLevelType w:val="multilevel"/>
    <w:tmpl w:val="0E6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342508">
    <w:abstractNumId w:val="0"/>
  </w:num>
  <w:num w:numId="2" w16cid:durableId="619916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1575"/>
    <w:rsid w:val="000C1575"/>
    <w:rsid w:val="004C1AF9"/>
    <w:rsid w:val="008E5637"/>
  </w:rsids>
  <m:mathPr>
    <m:mathFont m:val="Cambria Math"/>
    <m:brkBin m:val="before"/>
    <m:brkBinSub m:val="--"/>
    <m:smallFrac m:val="0"/>
    <m:dispDef/>
    <m:lMargin m:val="0"/>
    <m:rMargin m:val="0"/>
    <m:defJc m:val="centerGroup"/>
    <m:wrapIndent m:val="1440"/>
    <m:intLim m:val="subSup"/>
    <m:naryLim m:val="undOvr"/>
  </m:mathPr>
  <w:themeFontLang w:val="fr-D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C86D1"/>
  <w15:chartTrackingRefBased/>
  <w15:docId w15:val="{AB00E032-53D2-4AC5-8DA2-EF6DD8B5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DZ" w:eastAsia="fr-D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auto-style1">
    <w:name w:val="auto-style1"/>
    <w:basedOn w:val="Normal"/>
    <w:pPr>
      <w:spacing w:before="100" w:beforeAutospacing="1" w:after="100" w:afterAutospacing="1"/>
    </w:pPr>
    <w:rPr>
      <w:sz w:val="28"/>
      <w:szCs w:val="28"/>
    </w:rPr>
  </w:style>
  <w:style w:type="paragraph" w:customStyle="1" w:styleId="auto-style2">
    <w:name w:val="auto-style2"/>
    <w:basedOn w:val="Normal"/>
    <w:pPr>
      <w:spacing w:before="100" w:beforeAutospacing="1" w:after="100" w:afterAutospacing="1"/>
    </w:pPr>
    <w:rPr>
      <w:u w:val="single"/>
    </w:rPr>
  </w:style>
  <w:style w:type="paragraph" w:customStyle="1" w:styleId="auto-style4">
    <w:name w:val="auto-style4"/>
    <w:basedOn w:val="Normal"/>
    <w:pPr>
      <w:spacing w:before="100" w:beforeAutospacing="1" w:after="100" w:afterAutospacing="1"/>
    </w:pPr>
  </w:style>
  <w:style w:type="paragraph" w:customStyle="1" w:styleId="auto-style5">
    <w:name w:val="auto-style5"/>
    <w:basedOn w:val="Normal"/>
    <w:pPr>
      <w:shd w:val="clear" w:color="auto" w:fill="FFFFFF"/>
      <w:spacing w:before="100" w:beforeAutospacing="1" w:after="100" w:afterAutospacing="1"/>
    </w:pPr>
  </w:style>
  <w:style w:type="paragraph" w:customStyle="1" w:styleId="auto-style6">
    <w:name w:val="auto-style6"/>
    <w:basedOn w:val="Normal"/>
    <w:pPr>
      <w:spacing w:before="100" w:beforeAutospacing="1" w:after="100" w:afterAutospacing="1"/>
    </w:pPr>
    <w:rPr>
      <w:sz w:val="27"/>
      <w:szCs w:val="27"/>
    </w:rPr>
  </w:style>
  <w:style w:type="character" w:customStyle="1" w:styleId="auto-style21">
    <w:name w:val="auto-style21"/>
    <w:basedOn w:val="Policepardfaut"/>
    <w:rPr>
      <w:u w:val="single"/>
    </w:rPr>
  </w:style>
  <w:style w:type="character" w:styleId="lev">
    <w:name w:val="Strong"/>
    <w:basedOn w:val="Policepardfaut"/>
    <w:uiPriority w:val="22"/>
    <w:qFormat/>
    <w:rPr>
      <w:b/>
      <w:bCs/>
    </w:rPr>
  </w:style>
  <w:style w:type="character" w:customStyle="1" w:styleId="auto-style61">
    <w:name w:val="auto-style61"/>
    <w:basedOn w:val="Policepardfaut"/>
    <w:rPr>
      <w:sz w:val="27"/>
      <w:szCs w:val="27"/>
    </w:rPr>
  </w:style>
  <w:style w:type="character" w:customStyle="1" w:styleId="auto-style51">
    <w:name w:val="auto-style51"/>
    <w:basedOn w:val="Policepardfaut"/>
    <w:rPr>
      <w:shd w:val="clear" w:color="auto" w:fill="FFFFFF"/>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lg-net.com/download/pcpaiew/BAREME_IRG_2020/IMPRIMER_BAREME_IRG2020.jp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EXPLICATION BAREME IRG 2020 APPL</dc:title>
  <dc:subject/>
  <dc:creator>dell</dc:creator>
  <cp:keywords/>
  <dc:description/>
  <cp:lastModifiedBy>dell</cp:lastModifiedBy>
  <cp:revision>2</cp:revision>
  <dcterms:created xsi:type="dcterms:W3CDTF">2026-04-01T20:42:00Z</dcterms:created>
  <dcterms:modified xsi:type="dcterms:W3CDTF">2026-04-01T20:42:00Z</dcterms:modified>
</cp:coreProperties>
</file>