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4"/>
        </w:rPr>
        <w:t>R&amp;D Technical Dossier</w:t>
      </w:r>
    </w:p>
    <w:p/>
    <w:p>
      <w:pPr>
        <w:jc w:val="center"/>
      </w:pPr>
      <w:r>
        <w:rPr>
          <w:sz w:val="28"/>
        </w:rPr>
        <w:t>Dzvin.co + Decision Intelligence Platform (DIP)</w:t>
      </w:r>
    </w:p>
    <w:p>
      <w:pPr>
        <w:jc w:val="center"/>
      </w:pPr>
      <w:r>
        <w:rPr>
          <w:color w:val="555555"/>
          <w:sz w:val="20"/>
        </w:rPr>
        <w:t>Version 1.0  |  2026-08-08  |  For Grant Application</w:t>
      </w:r>
    </w:p>
    <w:p/>
    <w:p>
      <w:pPr>
        <w:jc w:val="center"/>
      </w:pPr>
      <w:r>
        <w:rPr>
          <w:i/>
          <w:color w:val="1A569A"/>
          <w:sz w:val="22"/>
        </w:rPr>
        <w:t>Existing system  →  Mathematical problem  →  Proposed method  →</w:t>
        <w:br/>
        <w:t>Scientific novelty  →  Verification  →  Expected result</w:t>
      </w:r>
    </w:p>
    <w:p>
      <w:r>
        <w:br w:type="page"/>
      </w:r>
    </w:p>
    <w:p>
      <w:pPr>
        <w:pStyle w:val="Heading1"/>
      </w:pPr>
      <w:r>
        <w:rPr>
          <w:color w:val="222A5C"/>
          <w:sz w:val="32"/>
        </w:rPr>
        <w:t>1. Product Description and Problem Statement</w:t>
      </w:r>
    </w:p>
    <w:p>
      <w:pPr>
        <w:pStyle w:val="Heading2"/>
      </w:pPr>
      <w:r>
        <w:rPr>
          <w:color w:val="1A569A"/>
          <w:sz w:val="26"/>
        </w:rPr>
        <w:t>1.1 System Overview</w:t>
      </w:r>
    </w:p>
    <w:p>
      <w:r>
        <w:rPr>
          <w:sz w:val="20"/>
        </w:rPr>
        <w:t>Dzvin.co is a corporate mental wellbeing platform with a three-layer architecture: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134"/>
            <w:shd w:val="clear" w:color="auto" w:fill="D6E4F7"/>
          </w:tcPr>
          <w:p>
            <w:r>
              <w:rPr>
                <w:b/>
                <w:sz w:val="18"/>
              </w:rPr>
              <w:t>Layer</w:t>
            </w:r>
          </w:p>
        </w:tc>
        <w:tc>
          <w:tcPr>
            <w:tcW w:type="dxa" w:w="1984"/>
            <w:shd w:val="clear" w:color="auto" w:fill="D6E4F7"/>
          </w:tcPr>
          <w:p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669"/>
            <w:shd w:val="clear" w:color="auto" w:fill="D6E4F7"/>
          </w:tcPr>
          <w:p>
            <w:r>
              <w:rPr>
                <w:b/>
                <w:sz w:val="18"/>
              </w:rPr>
              <w:t>Core Functions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B2C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Daily mood/stress/energy/focus check-ins (scale 1–5), journal, affirmations, PHQ-9/GAD-7/PSS-4/K10 assessments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B2B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HR / Managers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Aggregated analytics, risk events, decision support reports with ROI estimates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R&amp;D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Internal ML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Risk scoring, trajectory prediction, online evaluation, policy governance</w:t>
            </w:r>
          </w:p>
        </w:tc>
      </w:tr>
    </w:tbl>
    <w:p/>
    <w:p>
      <w:r>
        <w:rPr>
          <w:b/>
          <w:sz w:val="20"/>
        </w:rPr>
        <w:t xml:space="preserve">Decision Intelligence Platform (DIP) </w:t>
      </w:r>
      <w:r>
        <w:rPr>
          <w:sz w:val="20"/>
        </w:rPr>
        <w:t xml:space="preserve">The </w:t>
      </w:r>
      <w:r>
        <w:rPr>
          <w:sz w:val="20"/>
        </w:rPr>
        <w:t>is an independent platform providing rule evaluation, prediction, explainability, and audit. Dzvin.co integrates with DIP through a public REST API contract.</w:t>
      </w:r>
    </w:p>
    <w:p>
      <w:pPr>
        <w:pStyle w:val="Heading2"/>
      </w:pPr>
      <w:r>
        <w:rPr>
          <w:color w:val="1A569A"/>
          <w:sz w:val="26"/>
        </w:rPr>
        <w:t>1.2 Current MVP Status (TRL 4–6)</w:t>
      </w:r>
    </w:p>
    <w:p>
      <w:r>
        <w:rPr>
          <w:sz w:val="20"/>
        </w:rPr>
        <w:t>Implemented:</w:t>
      </w:r>
    </w:p>
    <w:p>
      <w:pPr>
        <w:pStyle w:val="ListBullet"/>
        <w:ind w:left="283"/>
      </w:pPr>
      <w:r>
        <w:rPr>
          <w:sz w:val="20"/>
        </w:rPr>
        <w:t>REST API decision engine (FastAPI, Python)</w:t>
      </w:r>
    </w:p>
    <w:p>
      <w:pPr>
        <w:pStyle w:val="ListBullet"/>
        <w:ind w:left="283"/>
      </w:pPr>
      <w:r>
        <w:rPr>
          <w:sz w:val="20"/>
        </w:rPr>
        <w:t>Rule engine — 10 deterministic rules with baseline-aware severity enrichment</w:t>
      </w:r>
    </w:p>
    <w:p>
      <w:pPr>
        <w:pStyle w:val="ListBullet"/>
        <w:ind w:left="283"/>
      </w:pPr>
      <w:r>
        <w:rPr>
          <w:sz w:val="20"/>
        </w:rPr>
        <w:t>Burnout Index (0–100) based on 6 weighted factors</w:t>
      </w:r>
    </w:p>
    <w:p>
      <w:pPr>
        <w:pStyle w:val="ListBullet"/>
        <w:ind w:left="283"/>
      </w:pPr>
      <w:r>
        <w:rPr>
          <w:sz w:val="20"/>
        </w:rPr>
        <w:t>Composite Risk Score — three signals (prediction, anomaly, z-score) with tuned weights</w:t>
      </w:r>
    </w:p>
    <w:p>
      <w:pPr>
        <w:pStyle w:val="ListBullet"/>
        <w:ind w:left="283"/>
      </w:pPr>
      <w:r>
        <w:rPr>
          <w:sz w:val="20"/>
        </w:rPr>
        <w:t>Adaptive Baseline Engine — EWMA α=0.38 with recency decay ρ=0.92</w:t>
      </w:r>
    </w:p>
    <w:p>
      <w:pPr>
        <w:pStyle w:val="ListBullet"/>
        <w:ind w:left="283"/>
      </w:pPr>
      <w:r>
        <w:rPr>
          <w:sz w:val="20"/>
        </w:rPr>
        <w:t>State Vector + Feasible State Space + best/worst-case bounds</w:t>
      </w:r>
    </w:p>
    <w:p>
      <w:pPr>
        <w:pStyle w:val="ListBullet"/>
        <w:ind w:left="283"/>
      </w:pPr>
      <w:r>
        <w:rPr>
          <w:sz w:val="20"/>
        </w:rPr>
        <w:t>System stability score (state drift + uncertainty envelope + resilience)</w:t>
      </w:r>
    </w:p>
    <w:p>
      <w:pPr>
        <w:pStyle w:val="ListBullet"/>
        <w:ind w:left="283"/>
      </w:pPr>
      <w:r>
        <w:rPr>
          <w:sz w:val="20"/>
        </w:rPr>
        <w:t>ML Trust Score (accuracy/calibration/drift/coverage composite)</w:t>
      </w:r>
    </w:p>
    <w:p>
      <w:pPr>
        <w:pStyle w:val="ListBullet"/>
        <w:ind w:left="283"/>
      </w:pPr>
      <w:r>
        <w:rPr>
          <w:sz w:val="20"/>
        </w:rPr>
        <w:t>Online evaluation: A/B policy routing, drift detection, auto-mitigation loops</w:t>
      </w:r>
    </w:p>
    <w:p>
      <w:pPr>
        <w:pStyle w:val="ListBullet"/>
        <w:ind w:left="283"/>
      </w:pPr>
      <w:r>
        <w:rPr>
          <w:sz w:val="20"/>
        </w:rPr>
        <w:t>MongoDB event store + immutable audit log</w:t>
      </w:r>
    </w:p>
    <w:p>
      <w:pPr>
        <w:pStyle w:val="ListBullet"/>
        <w:ind w:left="283"/>
      </w:pPr>
      <w:r>
        <w:rPr>
          <w:sz w:val="20"/>
        </w:rPr>
        <w:t>NestJS backend: B2C + B2B + R&amp;D projection surfaces</w:t>
      </w:r>
    </w:p>
    <w:p>
      <w:pPr>
        <w:pStyle w:val="ListBullet"/>
        <w:ind w:left="283"/>
      </w:pPr>
      <w:r>
        <w:rPr>
          <w:sz w:val="20"/>
        </w:rPr>
        <w:t>OpenAI GPT-4.1 integration: AI-generated executive summaries</w:t>
      </w:r>
    </w:p>
    <w:p/>
    <w:p>
      <w:r>
        <w:rPr>
          <w:sz w:val="20"/>
        </w:rPr>
        <w:t>Heuristic components requiring R&amp;D:</w:t>
      </w:r>
    </w:p>
    <w:p>
      <w:pPr>
        <w:pStyle w:val="ListBullet"/>
        <w:ind w:left="283"/>
      </w:pPr>
      <w:r>
        <w:rPr>
          <w:sz w:val="20"/>
        </w:rPr>
        <w:t>Prediction probability — surrogate logistic regression, coefficients set manually</w:t>
      </w:r>
    </w:p>
    <w:p>
      <w:pPr>
        <w:pStyle w:val="ListBullet"/>
        <w:ind w:left="283"/>
      </w:pPr>
      <w:r>
        <w:rPr>
          <w:sz w:val="20"/>
        </w:rPr>
        <w:t>State risk weights (0.34/0.22/0.18/0.16/0.10) — manual calibration</w:t>
      </w:r>
    </w:p>
    <w:p>
      <w:pPr>
        <w:pStyle w:val="ListBullet"/>
        <w:ind w:left="283"/>
      </w:pPr>
      <w:r>
        <w:rPr>
          <w:sz w:val="20"/>
        </w:rPr>
        <w:t>EWMA coefficients (α=0.38, decay=0.92) — not optimised per cohort</w:t>
      </w:r>
    </w:p>
    <w:p>
      <w:pPr>
        <w:pStyle w:val="ListBullet"/>
        <w:ind w:left="283"/>
      </w:pPr>
      <w:r>
        <w:rPr>
          <w:sz w:val="20"/>
        </w:rPr>
        <w:t>Feasible state space margins — conservative approximations, not data-driven</w:t>
      </w:r>
    </w:p>
    <w:p>
      <w:pPr>
        <w:pStyle w:val="ListBullet"/>
        <w:ind w:left="283"/>
      </w:pPr>
      <w:r>
        <w:rPr>
          <w:sz w:val="20"/>
        </w:rPr>
        <w:t>PHQ-9/GAD-7 → risk score mapping — not wired into pipeline (rules R9–R10 pending)</w:t>
      </w:r>
    </w:p>
    <w:p>
      <w:pPr>
        <w:pStyle w:val="ListBullet"/>
        <w:ind w:left="283"/>
      </w:pPr>
      <w:r>
        <w:rPr>
          <w:sz w:val="20"/>
        </w:rPr>
        <w:t>Team risk propagation — heuristic coupling bonus, no formal network model</w:t>
      </w:r>
    </w:p>
    <w:p>
      <w:pPr>
        <w:pStyle w:val="Heading2"/>
      </w:pPr>
      <w:r>
        <w:rPr>
          <w:color w:val="1A569A"/>
          <w:sz w:val="26"/>
        </w:rPr>
        <w:t>1.3 Mathematical Problem</w:t>
      </w:r>
    </w:p>
    <w:p>
      <w:r>
        <w:rPr>
          <w:sz w:val="20"/>
        </w:rPr>
        <w:t>The current system uses fixed weights and thresholds that are independent of:</w:t>
        <w:br/>
        <w:t xml:space="preserve">  • the population distribution of users;</w:t>
        <w:br/>
        <w:t xml:space="preserve">  • the individual temporal dynamics;</w:t>
        <w:br/>
        <w:t xml:space="preserve">  • inter-individual variability of psychometric scales.</w:t>
      </w:r>
    </w:p>
    <w:p>
      <w:r>
        <w:rPr>
          <w:sz w:val="20"/>
        </w:rPr>
        <w:t>Consequences: false positives in cohorts with chronically elevated baseline stress; unstable predictions under distributional drift; absence of formal safety guarantees for high-impact decisions.</w:t>
      </w:r>
    </w:p>
    <w:p>
      <w:r>
        <w:rPr>
          <w:sz w:val="20"/>
        </w:rPr>
        <w:t xml:space="preserve">Research objective: </w:t>
      </w:r>
      <w:r>
        <w:rPr>
          <w:sz w:val="20"/>
        </w:rPr>
        <w:t>build a theoretically grounded model in which weights, thresholds, and policy are derived from data rather than manual calibration.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222A5C"/>
          <w:sz w:val="32"/>
        </w:rPr>
        <w:t>2. Algorithmic Specification (Verified Formulas)</w:t>
      </w:r>
    </w:p>
    <w:p>
      <w:r>
        <w:rPr>
          <w:sz w:val="20"/>
        </w:rPr>
        <w:t xml:space="preserve">All formulas are taken directly from production code in </w:t>
      </w:r>
      <w:r>
        <w:rPr>
          <w:rFonts w:ascii="Courier New" w:hAnsi="Courier New"/>
          <w:sz w:val="20"/>
        </w:rPr>
        <w:t>mentality-back</w:t>
      </w:r>
      <w:r>
        <w:rPr>
          <w:sz w:val="20"/>
        </w:rPr>
        <w:t>.</w:t>
      </w:r>
    </w:p>
    <w:p>
      <w:pPr>
        <w:pStyle w:val="Heading2"/>
      </w:pPr>
      <w:r>
        <w:rPr>
          <w:color w:val="1A569A"/>
          <w:sz w:val="26"/>
        </w:rPr>
        <w:t>2.1 User State Vector</w:t>
      </w:r>
    </w:p>
    <w:p>
      <w:r>
        <w:rPr>
          <w:sz w:val="20"/>
        </w:rPr>
        <w:t>The current state of user i at time t:</w:t>
      </w:r>
    </w:p>
    <w:p>
      <w:pPr>
        <w:spacing w:before="80" w:after="80"/>
        <w:jc w:val="center"/>
      </w:pPr>
      <w:r>
        <w:rPr>
          <w:i/>
          <w:sz w:val="20"/>
        </w:rPr>
        <w:t>x_t = (s_t, m_t, σ_t, r_t, ζ_t)ᵀ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134"/>
            <w:shd w:val="clear" w:color="auto" w:fill="D6E4F7"/>
          </w:tcPr>
          <w:p>
            <w:r>
              <w:rPr>
                <w:b/>
                <w:sz w:val="18"/>
              </w:rPr>
              <w:t>Symbol</w:t>
            </w:r>
          </w:p>
        </w:tc>
        <w:tc>
          <w:tcPr>
            <w:tcW w:type="dxa" w:w="5102"/>
            <w:shd w:val="clear" w:color="auto" w:fill="D6E4F7"/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1417"/>
            <w:shd w:val="clear" w:color="auto" w:fill="D6E4F7"/>
          </w:tcPr>
          <w:p>
            <w:r>
              <w:rPr>
                <w:b/>
                <w:sz w:val="18"/>
              </w:rPr>
              <w:t>Range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s_t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Stress level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[1, 5]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m_t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Mood level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[1, 5]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σ_t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Volatility (rolling std of stress)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[0, 2.5]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r_t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Recovery rate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[0, 1]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ζ_t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Social stability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[0, 1]</w:t>
            </w:r>
          </w:p>
        </w:tc>
      </w:tr>
    </w:tbl>
    <w:p/>
    <w:p>
      <w:pPr>
        <w:pStyle w:val="Heading3"/>
      </w:pPr>
      <w:r>
        <w:rPr>
          <w:color w:val="2E75B6"/>
          <w:sz w:val="22"/>
        </w:rPr>
        <w:t>Recovery rate  (adaptive-risk.engine.ts)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>recoverySignal    = Σ max(0, −Δstress) × 0.6 + max(0, Δmood) × 0.4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>degradationSignal = Σ max(0, +Δstress) × 0.55 + max(0, −Δmood) × 0.45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>r_t = clamp( (recoverySignal + 0.1) / (recoverySignal + degradationSignal + 0.2), 0, 1 )</w:t>
      </w:r>
    </w:p>
    <w:p>
      <w:pPr>
        <w:pStyle w:val="Heading3"/>
      </w:pPr>
      <w:r>
        <w:rPr>
          <w:color w:val="2E75B6"/>
          <w:sz w:val="22"/>
        </w:rPr>
        <w:t>Social stability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>ζ_t = clamp( cadenceRegularity × 0.55 + (1 − σ_norm) × 0.25 + confidence × 0.20, 0, 1 )</w:t>
      </w:r>
    </w:p>
    <w:p>
      <w:pPr>
        <w:pStyle w:val="Heading2"/>
      </w:pPr>
      <w:r>
        <w:rPr>
          <w:color w:val="1A569A"/>
          <w:sz w:val="26"/>
        </w:rPr>
        <w:t>2.2 Personalised Baseline (EWMA)</w:t>
      </w:r>
    </w:p>
    <w:p>
      <w:r>
        <w:rPr>
          <w:sz w:val="20"/>
        </w:rPr>
        <w:t>Exponentially weighted moving average:</w:t>
      </w:r>
    </w:p>
    <w:p>
      <w:pPr>
        <w:spacing w:before="80" w:after="80"/>
        <w:jc w:val="center"/>
      </w:pPr>
      <w:r>
        <w:rPr>
          <w:i/>
          <w:sz w:val="20"/>
        </w:rPr>
        <w:t>ŝ_t = α · s_t + (1 − α) · ŝ_{t−1},    α = 0.38</w:t>
      </w:r>
    </w:p>
    <w:p>
      <w:r>
        <w:rPr>
          <w:sz w:val="20"/>
        </w:rPr>
        <w:t>Weighted standard deviation with recency decay ρ = 0.92:</w:t>
      </w:r>
    </w:p>
    <w:p>
      <w:pPr>
        <w:spacing w:before="80" w:after="80"/>
        <w:jc w:val="center"/>
      </w:pPr>
      <w:r>
        <w:rPr>
          <w:i/>
          <w:sz w:val="20"/>
        </w:rPr>
        <w:t>σ̂_t = max(sqrt[ Σ ρ^(N−1−i) · (s_i − ŝ_t)² / Σ ρ^(N−1−i) ], 0.18)</w:t>
      </w:r>
    </w:p>
    <w:p>
      <w:r>
        <w:rPr>
          <w:sz w:val="20"/>
        </w:rPr>
        <w:t>Confidence of baseline estimate: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>confidence = clamp(0.20 + coverage×0.40 + recency×0.15 + stability×0.25, 0.20, 0.95)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 xml:space="preserve">  coverage  = clamp(n_samples / 10, 0, 1)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 xml:space="preserve">  recency   = 1.00  if hours_since_last ≤ 48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 xml:space="preserve">            = 0.80  if hours_since_last ≤ 96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 xml:space="preserve">            = 0.60  otherwise</w:t>
      </w:r>
    </w:p>
    <w:p>
      <w:pPr>
        <w:pStyle w:val="Heading2"/>
      </w:pPr>
      <w:r>
        <w:rPr>
          <w:color w:val="1A569A"/>
          <w:sz w:val="26"/>
        </w:rPr>
        <w:t>2.3 Feasible State Space</w:t>
      </w:r>
    </w:p>
    <w:p>
      <w:pPr>
        <w:spacing w:before="80" w:after="80"/>
        <w:jc w:val="center"/>
      </w:pPr>
      <w:r>
        <w:rPr>
          <w:i/>
          <w:sz w:val="20"/>
        </w:rPr>
        <w:t>F_d = [ x_t^(d) − Δ_d,  x_t^(d) + Δ_d ]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>Δ_stress     = max( (CI_upper − CI_lower) / 2,          0.18 )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>Δ_mood       = max( (CI_upper − CI_lower) / 2,          0.18 )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>Δ_volatility = clamp( σ × 0.22 + (1 − conf) × 0.40,    0.06, 0.80 )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>Δ_recovery   = clamp( (1 − conf) × 0.30 + σ × 0.04,    0.05, 0.35 )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>Δ_social     = clamp( (1 − conf) × 0.28 + σ × 0.03,    0.05, 0.30 )</w:t>
      </w:r>
    </w:p>
    <w:p>
      <w:pPr>
        <w:pStyle w:val="Heading2"/>
      </w:pPr>
      <w:r>
        <w:rPr>
          <w:color w:val="1A569A"/>
          <w:sz w:val="26"/>
        </w:rPr>
        <w:t>2.4 Best-case / Worst-case (Minimax Estimation)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>best_case  = { s_min, m_max, σ_min, r_max, ζ_max }   # minimises risk within F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>worst_case = { s_max, m_min, σ_max, r_min, ζ_min }   # maximises risk within F</w:t>
      </w:r>
    </w:p>
    <w:p>
      <w:r>
        <w:rPr>
          <w:sz w:val="20"/>
        </w:rPr>
        <w:t>Risk for a given state vector:</w:t>
      </w:r>
    </w:p>
    <w:p>
      <w:pPr>
        <w:spacing w:before="80" w:after="80"/>
        <w:jc w:val="center"/>
      </w:pPr>
      <w:r>
        <w:rPr>
          <w:i/>
          <w:sz w:val="20"/>
        </w:rPr>
        <w:t>stateRisk = 0.34·s_norm + 0.22·(1−m_norm) + 0.18·σ_norm + 0.16·(1−r) + 0.10·(1−ζ)</w:t>
      </w:r>
    </w:p>
    <w:p>
      <w:pPr>
        <w:spacing w:before="80" w:after="80"/>
        <w:jc w:val="center"/>
      </w:pPr>
      <w:r>
        <w:rPr>
          <w:i/>
          <w:sz w:val="20"/>
        </w:rPr>
        <w:t>deviationRisk = sigmoid( deviationScore/1.6 × 3 − 1.2 )</w:t>
      </w:r>
    </w:p>
    <w:p>
      <w:pPr>
        <w:spacing w:before="80" w:after="80"/>
        <w:jc w:val="center"/>
      </w:pPr>
      <w:r>
        <w:rPr>
          <w:i/>
          <w:sz w:val="20"/>
        </w:rPr>
        <w:t>predictedRisk = 0.45·stateRisk + 0.55·deviationRisk</w:t>
      </w:r>
    </w:p>
    <w:p>
      <w:pPr>
        <w:pStyle w:val="Heading2"/>
      </w:pPr>
      <w:r>
        <w:rPr>
          <w:color w:val="1A569A"/>
          <w:sz w:val="26"/>
        </w:rPr>
        <w:t>2.5 Deviation Score</w:t>
      </w:r>
    </w:p>
    <w:p>
      <w:pPr>
        <w:spacing w:before="80" w:after="80"/>
        <w:jc w:val="center"/>
      </w:pPr>
      <w:r>
        <w:rPr>
          <w:i/>
          <w:sz w:val="20"/>
        </w:rPr>
        <w:t>deviationScore = 0.8 · |s_t − ŝ| / σ̂  +  0.2 · |m_t − m̂| / Δ_m</w:t>
      </w:r>
    </w:p>
    <w:p>
      <w:pPr>
        <w:pStyle w:val="Heading2"/>
      </w:pPr>
      <w:r>
        <w:rPr>
          <w:color w:val="1A569A"/>
          <w:sz w:val="26"/>
        </w:rPr>
        <w:t>2.6 System Stability Score</w:t>
      </w:r>
    </w:p>
    <w:p>
      <w:pPr>
        <w:spacing w:before="80" w:after="80"/>
        <w:jc w:val="center"/>
      </w:pPr>
      <w:r>
        <w:rPr>
          <w:i/>
          <w:sz w:val="20"/>
        </w:rPr>
        <w:t>systemStability = clamp(</w:t>
        <w:br/>
        <w:t xml:space="preserve">    1 − 0.40·stateDrift − 0.35·(R_worst − R_best) − 0.15·σ_norm</w:t>
        <w:br/>
        <w:t xml:space="preserve">    + 0.12·r + 0.08·ζ,   0, 1 )</w:t>
      </w:r>
    </w:p>
    <w:p>
      <w:pPr>
        <w:pStyle w:val="Heading2"/>
      </w:pPr>
      <w:r>
        <w:rPr>
          <w:color w:val="1A569A"/>
          <w:sz w:val="26"/>
        </w:rPr>
        <w:t>2.7 Composite Risk Score</w:t>
      </w:r>
    </w:p>
    <w:p>
      <w:pPr>
        <w:spacing w:before="80" w:after="80"/>
        <w:jc w:val="center"/>
      </w:pPr>
      <w:r>
        <w:rPr>
          <w:i/>
          <w:sz w:val="20"/>
        </w:rPr>
        <w:t>riskScore = 0.55·P_pred + 0.25·P_anomaly + 0.20·sigmoid(zScore)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D6E4F7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7087"/>
            <w:shd w:val="clear" w:color="auto" w:fill="D6E4F7"/>
          </w:tcPr>
          <w:p>
            <w:r>
              <w:rPr>
                <w:b/>
                <w:sz w:val="18"/>
              </w:rPr>
              <w:t>Formula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P_pred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sigmoid(−2.2 + 1.1(s−3) + 0.7(s̄₇−3) + 0.6(s̄₁₄−3) + 0.8Δs + 0.9σ − 0.5(m−3))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P_anomaly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clamp( (|s − s̄_expected| + 0.7|Δs| + 0.8σ) / 3,  0, 1 )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zScore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(s_t − baseline.mean) / max(baseline.std, 0.15)</w:t>
            </w:r>
          </w:p>
        </w:tc>
      </w:tr>
    </w:tbl>
    <w:p/>
    <w:p>
      <w:pPr>
        <w:pStyle w:val="Heading2"/>
      </w:pPr>
      <w:r>
        <w:rPr>
          <w:color w:val="1A569A"/>
          <w:sz w:val="26"/>
        </w:rPr>
        <w:t>2.8 ML Trust Score</w:t>
      </w:r>
    </w:p>
    <w:p>
      <w:pPr>
        <w:spacing w:before="80" w:after="80"/>
        <w:jc w:val="center"/>
      </w:pPr>
      <w:r>
        <w:rPr>
          <w:i/>
          <w:sz w:val="20"/>
        </w:rPr>
        <w:t>mlTrustScore = clamp( [0.40·acc + 0.25·(1−cal) + 0.20·(1−drift) + 0.15·cov] × samplePenalty 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D6E4F7"/>
          </w:tcPr>
          <w:p>
            <w:r>
              <w:rPr>
                <w:b/>
                <w:sz w:val="18"/>
              </w:rPr>
              <w:t>Level</w:t>
            </w:r>
          </w:p>
        </w:tc>
        <w:tc>
          <w:tcPr>
            <w:tcW w:type="dxa" w:w="7087"/>
            <w:shd w:val="clear" w:color="auto" w:fill="D6E4F7"/>
          </w:tcPr>
          <w:p>
            <w:r>
              <w:rPr>
                <w:b/>
                <w:sz w:val="18"/>
              </w:rPr>
              <w:t>Condition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mlTrustScore &lt; 0.45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0.45 ≤ mlTrustScore &lt; 0.65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7087"/>
          </w:tcPr>
          <w:p>
            <w:r>
              <w:rPr>
                <w:sz w:val="18"/>
              </w:rPr>
              <w:t>mlTrustScore ≥ 0.65</w:t>
            </w:r>
          </w:p>
        </w:tc>
      </w:tr>
    </w:tbl>
    <w:p/>
    <w:p>
      <w:r>
        <w:rPr>
          <w:sz w:val="20"/>
        </w:rPr>
        <w:t>Minimum conclusive sample for trust calculation: 20 observations.</w:t>
      </w:r>
    </w:p>
    <w:p>
      <w:pPr>
        <w:pStyle w:val="Heading2"/>
      </w:pPr>
      <w:r>
        <w:rPr>
          <w:color w:val="1A569A"/>
          <w:sz w:val="26"/>
        </w:rPr>
        <w:t>2.9 Team-level Risk Propagation</w:t>
      </w:r>
    </w:p>
    <w:p>
      <w:pPr>
        <w:spacing w:before="80" w:after="80"/>
        <w:jc w:val="center"/>
      </w:pPr>
      <w:r>
        <w:rPr>
          <w:i/>
          <w:sz w:val="20"/>
        </w:rPr>
        <w:t>x̄_team = (1/N) · Σ x_t^(i)</w:t>
      </w:r>
    </w:p>
    <w:p>
      <w:r>
        <w:rPr>
          <w:sz w:val="20"/>
        </w:rPr>
        <w:t>Team coupling bonus when deviations are synchronised (teamSyncDeviation &lt; 0.7):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>synergy_bonus = (1 − teamSyncDeviation) × 0.25</w:t>
      </w:r>
    </w:p>
    <w:p>
      <w:r>
        <w:rPr>
          <w:sz w:val="20"/>
        </w:rPr>
        <w:t>Burnout Index at team level:</w:t>
      </w:r>
    </w:p>
    <w:p>
      <w:pPr>
        <w:spacing w:before="80" w:after="80"/>
        <w:jc w:val="center"/>
      </w:pPr>
      <w:r>
        <w:rPr>
          <w:i/>
          <w:sz w:val="20"/>
        </w:rPr>
        <w:t>BI_team = 0.30·s̄_norm + 0.20·(1−m̄_norm) + 0.20·(1−ē_norm) + 0.10·(1−f̄_norm) + 0.15·h_ratio + 0.05·e_gap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222A5C"/>
          <w:sz w:val="32"/>
        </w:rPr>
        <w:t>3. Scientific and Technical Novelty</w:t>
      </w:r>
    </w:p>
    <w:p>
      <w:pPr>
        <w:pStyle w:val="Heading2"/>
      </w:pPr>
      <w:r>
        <w:rPr>
          <w:color w:val="1A569A"/>
          <w:sz w:val="26"/>
        </w:rPr>
        <w:t>N1 — Declarative hybrid decision layer</w:t>
      </w:r>
    </w:p>
    <w:p>
      <w:r>
        <w:rPr>
          <w:sz w:val="20"/>
        </w:rPr>
        <w:t>Decisions are produced by a formal composition: rules → signal aggregation → policy-tier conflict resolution → explanation artifact.</w:t>
        <w:br/>
        <w:t>Unlike ML-only or rules-only pipelines, both signals are reconciled through a governance layer with explicit conflict resolution thresholds.</w:t>
        <w:br/>
        <w:t>Evidence status: engineering baseline implemented; quantitative ablation pending (H1).</w:t>
      </w:r>
    </w:p>
    <w:p>
      <w:pPr>
        <w:pStyle w:val="Heading2"/>
      </w:pPr>
      <w:r>
        <w:rPr>
          <w:color w:val="1A569A"/>
          <w:sz w:val="26"/>
        </w:rPr>
        <w:t>N2 — Explainability as a first-class decision artifact</w:t>
      </w:r>
    </w:p>
    <w:p>
      <w:r>
        <w:rPr>
          <w:sz w:val="20"/>
        </w:rPr>
        <w:t>Every high-impact decision returns: matched rules + condition counts; feature-level contribution (deviationScore, stressDeviation, moodDeviation); confidence context (mlTrustScore, uncertainty level); policy source and A/B variant identifier.</w:t>
        <w:br/>
        <w:t>This is part of the decision API contract, not a post-hoc UI layer.</w:t>
      </w:r>
    </w:p>
    <w:p>
      <w:pPr>
        <w:pStyle w:val="Heading2"/>
      </w:pPr>
      <w:r>
        <w:rPr>
          <w:color w:val="1A569A"/>
          <w:sz w:val="26"/>
        </w:rPr>
        <w:t>N3 — Adaptive multi-signal risk (N-dimensional)</w:t>
      </w:r>
    </w:p>
    <w:p>
      <w:r>
        <w:rPr>
          <w:sz w:val="20"/>
        </w:rPr>
        <w:t>Instead of a scalar threshold, the system operates on a 5-dimensional state vector, a feasible state space F with data-driven margins, minimax risk bounds [R_best, R_worst], and a formal system stability measure that quantifies resilience.</w:t>
      </w:r>
    </w:p>
    <w:p>
      <w:pPr>
        <w:pStyle w:val="Heading2"/>
      </w:pPr>
      <w:r>
        <w:rPr>
          <w:color w:val="1A569A"/>
          <w:sz w:val="26"/>
        </w:rPr>
        <w:t>N4 — Online policy self-protection</w:t>
      </w:r>
    </w:p>
    <w:p>
      <w:r>
        <w:rPr>
          <w:sz w:val="20"/>
        </w:rPr>
        <w:t>Policy automatically reduces ML influence under drift:</w:t>
        <w:br/>
        <w:t xml:space="preserve">  if degraded_cycles ≥ 2  →  safe-mode (rules_only)</w:t>
        <w:br/>
        <w:t xml:space="preserve">  if healthy_cycles ≥ 3   →  restore hybrid</w:t>
        <w:br/>
        <w:t>All policy changes are logged with reason, source, and TTL.</w:t>
      </w:r>
    </w:p>
    <w:p>
      <w:pPr>
        <w:pStyle w:val="Heading2"/>
      </w:pPr>
      <w:r>
        <w:rPr>
          <w:color w:val="1A569A"/>
          <w:sz w:val="26"/>
        </w:rPr>
        <w:t>N5 — Research-to-production traceability</w:t>
      </w:r>
    </w:p>
    <w:p>
      <w:r>
        <w:rPr>
          <w:sz w:val="20"/>
        </w:rPr>
        <w:t>The same decision contract supports offline experiments → controlled rollout → production inference without loss of interpretability. Traceability chain: dataset snapshot → feature version → policy state → decision audit.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222A5C"/>
          <w:sz w:val="32"/>
        </w:rPr>
        <w:t>4. Model Limitations and Proposed Research 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shd w:val="clear" w:color="auto" w:fill="D6E4F7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835"/>
            <w:shd w:val="clear" w:color="auto" w:fill="D6E4F7"/>
          </w:tcPr>
          <w:p>
            <w:r>
              <w:rPr>
                <w:b/>
                <w:sz w:val="18"/>
              </w:rPr>
              <w:t>Current Status</w:t>
            </w:r>
          </w:p>
        </w:tc>
        <w:tc>
          <w:tcPr>
            <w:tcW w:type="dxa" w:w="3402"/>
            <w:shd w:val="clear" w:color="auto" w:fill="D6E4F7"/>
          </w:tcPr>
          <w:p>
            <w:r>
              <w:rPr>
                <w:b/>
                <w:sz w:val="18"/>
              </w:rPr>
              <w:t>Required R&amp;D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Prediction probability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Surrogate heuristic; coefficients set manually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Offline training on real trajectories; cross-validation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State risk weights (0.34/0.22/…)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Manual calibration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Bayesian or gradient optimisation on outcome data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EWMA α and decay ρ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Fixed; not optimised per cohort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Per-cohort hyperparameter grid search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Feasible state space margins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Conservative approximation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Bootstrap credible intervals with clinical stratification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PHQ-9/GAD-7 → risk mapping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Not wired (rules R9–R10 inactive)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Clinical concordance study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Team risk propagation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Heuristic coupling bonus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Graph-based network model, causal analysis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Minimax → intervention mapping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No direct mapping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Decision-theory formalisation</w:t>
            </w:r>
          </w:p>
        </w:tc>
      </w:tr>
    </w:tbl>
    <w:p/>
    <w:p>
      <w:pPr>
        <w:pStyle w:val="Heading2"/>
      </w:pPr>
      <w:r>
        <w:rPr>
          <w:color w:val="1A569A"/>
          <w:sz w:val="26"/>
        </w:rPr>
        <w:t>7.1  Weight optimisation via constrained minimisation</w:t>
      </w:r>
    </w:p>
    <w:p>
      <w:pPr>
        <w:spacing w:before="80" w:after="80"/>
        <w:jc w:val="center"/>
      </w:pPr>
      <w:r>
        <w:rPr>
          <w:i/>
          <w:sz w:val="20"/>
        </w:rPr>
        <w:t>ŵ = argmin_w  E[|riskScore(w) − Y_actual|]    s.t.  Σwᵢ = 1, wᵢ ≥ 0</w:t>
      </w:r>
    </w:p>
    <w:p>
      <w:r>
        <w:rPr>
          <w:sz w:val="20"/>
        </w:rPr>
        <w:t>Expected result: calibration error &lt; 0.15 (currently not measured systematically).</w:t>
      </w:r>
    </w:p>
    <w:p>
      <w:pPr>
        <w:pStyle w:val="Heading2"/>
      </w:pPr>
      <w:r>
        <w:rPr>
          <w:color w:val="1A569A"/>
          <w:sz w:val="26"/>
        </w:rPr>
        <w:t>7.2  Bootstrap confidence intervals for feasible state space</w:t>
      </w:r>
    </w:p>
    <w:p>
      <w:pPr>
        <w:spacing w:before="80" w:after="80"/>
        <w:jc w:val="center"/>
      </w:pPr>
      <w:r>
        <w:rPr>
          <w:i/>
          <w:sz w:val="20"/>
        </w:rPr>
        <w:t>Δ_d = t_{0.95} · σ̂_d / √n    (stratified by cohort)</w:t>
      </w:r>
    </w:p>
    <w:p>
      <w:pPr>
        <w:pStyle w:val="Heading2"/>
      </w:pPr>
      <w:r>
        <w:rPr>
          <w:color w:val="1A569A"/>
          <w:sz w:val="26"/>
        </w:rPr>
        <w:t>7.3  Data-driven EWMA hyperparameters</w:t>
      </w:r>
    </w:p>
    <w:p>
      <w:r>
        <w:rPr>
          <w:sz w:val="20"/>
        </w:rPr>
        <w:t>Grid search with leave-one-out cross-validation on 30-day window sequences. Objective: mean squared error between EWMA forecast and actual next-day stress.</w:t>
      </w:r>
    </w:p>
    <w:p>
      <w:pPr>
        <w:pStyle w:val="Heading2"/>
      </w:pPr>
      <w:r>
        <w:rPr>
          <w:color w:val="1A569A"/>
          <w:sz w:val="26"/>
        </w:rPr>
        <w:t>7.4  Clinical concordance: PHQ-9/GAD-7 → risk activation</w:t>
      </w:r>
    </w:p>
    <w:p>
      <w:r>
        <w:rPr>
          <w:sz w:val="20"/>
        </w:rPr>
        <w:t>Spearman correlation between normalised PHQ-9/GAD-7 scores and rolling stress series. Bootstrapped CI for threshold value 0.7. Goal: activate rules R9–R10.</w:t>
      </w:r>
    </w:p>
    <w:p>
      <w:pPr>
        <w:pStyle w:val="Heading2"/>
      </w:pPr>
      <w:r>
        <w:rPr>
          <w:color w:val="1A569A"/>
          <w:sz w:val="26"/>
        </w:rPr>
        <w:t>7.5  Team risk propagation model</w:t>
      </w:r>
    </w:p>
    <w:p>
      <w:r>
        <w:rPr>
          <w:sz w:val="20"/>
        </w:rPr>
        <w:t>Graph-based aggregation with weighted coefficients for manager–peer and peer–peer links. Replaces heuristic coupling bonus with formally justified propagation model.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222A5C"/>
          <w:sz w:val="32"/>
        </w:rPr>
        <w:t>5. Proof of Functionality (Current Evidence)</w:t>
      </w:r>
    </w:p>
    <w:p>
      <w:pPr>
        <w:pStyle w:val="Heading2"/>
      </w:pPr>
      <w:r>
        <w:rPr>
          <w:color w:val="1A569A"/>
          <w:sz w:val="26"/>
        </w:rPr>
        <w:t>5.1 Deterministic rule engine — active in production</w:t>
      </w:r>
    </w:p>
    <w:p>
      <w:r>
        <w:rPr>
          <w:sz w:val="20"/>
        </w:rPr>
        <w:t>Rules R1–R8 are active in the production pipeline. Rules R9–R10 (GAD-7/PHQ-9 correlations) are defined but require data wiring.</w:t>
      </w:r>
    </w:p>
    <w:p>
      <w:pPr>
        <w:pStyle w:val="Heading2"/>
      </w:pPr>
      <w:r>
        <w:rPr>
          <w:color w:val="1A569A"/>
          <w:sz w:val="26"/>
        </w:rPr>
        <w:t>5.2 Structured decision output</w:t>
      </w:r>
    </w:p>
    <w:p>
      <w:r>
        <w:rPr>
          <w:sz w:val="20"/>
        </w:rPr>
        <w:t>Example decision API response (synthetic illustration):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>{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 xml:space="preserve">  "decision": "high_risk",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 xml:space="preserve">  "rule": "R-1: avgStress &gt;= 4.0 AND highRiskRatio &gt; 40%",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 xml:space="preserve">  "matched_conditions": 2,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 xml:space="preserve">  "total_conditions": 2,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 xml:space="preserve">  "confidence": 0.8,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 xml:space="preserve">  "explanation": ["rule=R-1", "matched=2/2"]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>}</w:t>
      </w:r>
    </w:p>
    <w:p>
      <w:pPr>
        <w:pStyle w:val="Heading2"/>
      </w:pPr>
      <w:r>
        <w:rPr>
          <w:color w:val="1A569A"/>
          <w:sz w:val="26"/>
        </w:rPr>
        <w:t>5.3 Online evaluation pipeline — active</w:t>
      </w:r>
    </w:p>
    <w:p>
      <w:pPr>
        <w:pStyle w:val="ListBullet"/>
        <w:ind w:left="283"/>
      </w:pPr>
      <w:r>
        <w:rPr>
          <w:sz w:val="20"/>
        </w:rPr>
        <w:t>A/B routing via user fingerprint is implemented</w:t>
      </w:r>
    </w:p>
    <w:p>
      <w:pPr>
        <w:pStyle w:val="ListBullet"/>
        <w:ind w:left="283"/>
      </w:pPr>
      <w:r>
        <w:rPr>
          <w:sz w:val="20"/>
        </w:rPr>
        <w:t>Degraded cycle detection + auto-mitigation loops are implemented</w:t>
      </w:r>
    </w:p>
    <w:p>
      <w:pPr>
        <w:pStyle w:val="ListBullet"/>
        <w:ind w:left="283"/>
      </w:pPr>
      <w:r>
        <w:rPr>
          <w:sz w:val="20"/>
        </w:rPr>
        <w:t>Trust thresholds (0.45 / 0.65) are applied at runtime</w:t>
      </w:r>
    </w:p>
    <w:p>
      <w:pPr>
        <w:pStyle w:val="Heading2"/>
      </w:pPr>
      <w:r>
        <w:rPr>
          <w:color w:val="1A569A"/>
          <w:sz w:val="26"/>
        </w:rPr>
        <w:t>5.4 Numerical Example — Burnout Index = 55</w:t>
      </w:r>
    </w:p>
    <w:p>
      <w:r>
        <w:rPr>
          <w:sz w:val="20"/>
        </w:rPr>
        <w:t>Input: avgStress=3.8, avgMood=2.8, avgEnergy=2.6, avgFocus=3.0, highRisk=30%, engagement=70%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>stress_norm  = (3.8 − 1) / 4 = 0.70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>mood_norm    = (2.8 − 1) / 4 = 0.45  →  inverted = 0.55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>energy_norm  = (2.6 − 1) / 4 = 0.40  →  inverted = 0.60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>focus_norm   = (3.0 − 1) / 4 = 0.50  →  inverted = 0.50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>high_risk_ratio = 0.30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>engagement_gap  = 0.30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>BI = 0.70×30 + 0.55×20 + 0.60×20 + 0.50×10 + 0.30×15 + 0.30×5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 xml:space="preserve">   = 21 + 11 + 12 + 5 + 4.5 + 1.5  =  55   →  level: MEDIUM</w:t>
      </w:r>
    </w:p>
    <w:p>
      <w:pPr>
        <w:pStyle w:val="Heading2"/>
      </w:pPr>
      <w:r>
        <w:rPr>
          <w:color w:val="1A569A"/>
          <w:sz w:val="26"/>
        </w:rPr>
        <w:t>5.5 Numerical Example — Risk Score = 0.780</w:t>
      </w:r>
    </w:p>
    <w:p>
      <w:r>
        <w:rPr>
          <w:sz w:val="20"/>
        </w:rPr>
        <w:t>Input: stress_t=4.2, s̄₇=3.5, s̄₁₄=3.2, Δs=0.7, volatility=0.9, mood=2.5, baseline.mean=3.0, baseline.std=0.5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>linear = −2.2 + 1.1×(4.2−3) + 0.7×(3.5−3) + 0.6×(3.2−3) + 0.8×0.7 + 0.9×0.9 − 0.5×(2.5−3)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 xml:space="preserve">       = −2.2 + 1.32 + 0.35 + 0.12 + 0.56 + 0.81 + 0.25  =  1.21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>P_pred = sigmoid(1.21) ≈ 0.77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>s̄_expected = (3.5 + 3.2) / 2 = 3.35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>localDeviation = |4.2 − 3.35| = 0.85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>weightedDeviation = 0.85 + |0.7|×0.7 + 0.9×0.8 = 2.06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>P_anomaly = clamp(2.06 / 3,  0, 1) = 0.69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>zScore = (4.2 − 3.0) / 0.5 = 2.4   →   sigmoid(2.4) = 0.917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>riskScore = 0.55×0.77 + 0.25×0.69 + 0.20×0.917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 xml:space="preserve">          = 0.424 + 0.173 + 0.183  =  0.780   →  HIGH RISK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222A5C"/>
          <w:sz w:val="32"/>
        </w:rPr>
        <w:t>6. System Architecture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>Dzvin.co (NestJS / TypeScript)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 xml:space="preserve">   │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 xml:space="preserve">   ├── B2C: mood check-ins → PHQ-9/GAD-7/K10 → AI summaries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 xml:space="preserve">   ├── B2B: aggregated analytics → decision support reports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 xml:space="preserve">   └── R&amp;D: ML scoring → online evaluation → policy governance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 xml:space="preserve">           │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 xml:space="preserve">           ↓  REST API  (x-api-key, tenant-scoped)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>Decision Intelligence Platform (DIP — Python / FastAPI)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 xml:space="preserve">   │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 xml:space="preserve">   ├── Rule Engine       (10 deterministic rules, severity-aware)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 xml:space="preserve">   ├── ML Engine         (heuristic surrogate + logistic + random forest)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 xml:space="preserve">   ├── Adaptive Risk     (EWMA baseline + state vector + minimax)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 xml:space="preserve">   ├── Decision Audit    (event store, trace, reproducibility)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 xml:space="preserve">   └── Policy Layer      (trust gating, A/B routing, auto-mitigation)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 xml:space="preserve">           │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 xml:space="preserve">           ↓</w:t>
      </w:r>
    </w:p>
    <w:p>
      <w:pPr>
        <w:spacing w:before="0" w:after="0"/>
        <w:ind w:left="454" w:right="283"/>
        <w:shd w:val="clear" w:color="auto" w:fill="F2F2F2"/>
      </w:pPr>
      <w:r>
        <w:rPr>
          <w:rFonts w:ascii="Courier New" w:hAnsi="Courier New"/>
          <w:sz w:val="17"/>
        </w:rPr>
        <w:t xml:space="preserve">   MongoDB  +  immutable audit log</w:t>
      </w:r>
    </w:p>
    <w:p>
      <w:r>
        <w:rPr>
          <w:sz w:val="20"/>
        </w:rPr>
        <w:t>Tech stack: Python/FastAPI (DIP) · TypeScript/NestJS (Dzvin.co) · MongoDB · OpenAI GPT-4.1 · Zitadel OIDC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222A5C"/>
          <w:sz w:val="32"/>
        </w:rPr>
        <w:t>8. Scientific Hypotheses and Verification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454"/>
            <w:shd w:val="clear" w:color="auto" w:fill="D6E4F7"/>
          </w:tcPr>
          <w:p>
            <w:r>
              <w:rPr>
                <w:b/>
                <w:sz w:val="18"/>
              </w:rPr>
              <w:t>H</w:t>
            </w:r>
          </w:p>
        </w:tc>
        <w:tc>
          <w:tcPr>
            <w:tcW w:type="dxa" w:w="2381"/>
            <w:shd w:val="clear" w:color="auto" w:fill="D6E4F7"/>
          </w:tcPr>
          <w:p>
            <w:r>
              <w:rPr>
                <w:b/>
                <w:sz w:val="18"/>
              </w:rPr>
              <w:t>Statement</w:t>
            </w:r>
          </w:p>
        </w:tc>
        <w:tc>
          <w:tcPr>
            <w:tcW w:type="dxa" w:w="1984"/>
            <w:shd w:val="clear" w:color="auto" w:fill="D6E4F7"/>
          </w:tcPr>
          <w:p>
            <w:r>
              <w:rPr>
                <w:b/>
                <w:sz w:val="18"/>
              </w:rPr>
              <w:t>Primary Metrics</w:t>
            </w:r>
          </w:p>
        </w:tc>
        <w:tc>
          <w:tcPr>
            <w:tcW w:type="dxa" w:w="2381"/>
            <w:shd w:val="clear" w:color="auto" w:fill="D6E4F7"/>
          </w:tcPr>
          <w:p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1587"/>
            <w:shd w:val="clear" w:color="auto" w:fill="D6E4F7"/>
          </w:tcPr>
          <w:p>
            <w:r>
              <w:rPr>
                <w:b/>
                <w:sz w:val="18"/>
              </w:rPr>
              <w:t>Null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H1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Hybrid Rule+ML &gt; pure ML and rules-only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AUROC, False alert rate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Offline ablation (EXP-HYB-002)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No difference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H2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Personal EWMA baseline &gt; population baseline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Calibration error, Brier score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Segment comparison (EXP-AB-001)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No improvement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H3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Explainability increases trust and action adoption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Trust uplift, comprehension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User study (EXP-XAI-003)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No behaviour change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H4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Adaptive features are more stable under drift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Drift resilience index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Drift simulation (EXP-004)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No stability gain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H5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Governance loops reduce degraded periods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Degraded cycle duration, rollback rate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Time-series audit (EXP-GOV-004)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No safety benefit</w:t>
            </w:r>
          </w:p>
        </w:tc>
      </w:tr>
    </w:tbl>
    <w:p/>
    <w:p>
      <w:r>
        <w:rPr>
          <w:sz w:val="20"/>
        </w:rPr>
        <w:t>Acceptance rule: preregistered thresholds with CI and effect size. Inconclusive results are labelled "inconclusive", not "positive".</w:t>
      </w:r>
    </w:p>
    <w:p>
      <w:pPr>
        <w:pStyle w:val="Heading2"/>
      </w:pPr>
      <w:r>
        <w:rPr>
          <w:color w:val="1A569A"/>
          <w:sz w:val="26"/>
        </w:rPr>
        <w:t>9.1 Offline evaluation</w:t>
      </w:r>
    </w:p>
    <w:p>
      <w:pPr>
        <w:pStyle w:val="ListBullet"/>
        <w:ind w:left="283"/>
      </w:pPr>
      <w:r>
        <w:rPr>
          <w:sz w:val="20"/>
        </w:rPr>
        <w:t>Baselines: deterministic rules, heuristic scoring, current production policy</w:t>
      </w:r>
    </w:p>
    <w:p>
      <w:pPr>
        <w:pStyle w:val="ListBullet"/>
        <w:ind w:left="283"/>
      </w:pPr>
      <w:r>
        <w:rPr>
          <w:sz w:val="20"/>
        </w:rPr>
        <w:t>Metrics: AUROC, AUPRC, Calibration Error, Brier Score, Precision@top-10%</w:t>
      </w:r>
    </w:p>
    <w:p>
      <w:pPr>
        <w:pStyle w:val="ListBullet"/>
        <w:ind w:left="283"/>
      </w:pPr>
      <w:r>
        <w:rPr>
          <w:sz w:val="20"/>
        </w:rPr>
        <w:t>Design: time-based split — no leakage of future data into training</w:t>
      </w:r>
    </w:p>
    <w:p>
      <w:pPr>
        <w:pStyle w:val="Heading2"/>
      </w:pPr>
      <w:r>
        <w:rPr>
          <w:color w:val="1A569A"/>
          <w:sz w:val="26"/>
        </w:rPr>
        <w:t>9.2 Online controlled evaluation</w:t>
      </w:r>
    </w:p>
    <w:p>
      <w:pPr>
        <w:pStyle w:val="ListBullet"/>
        <w:ind w:left="283"/>
      </w:pPr>
      <w:r>
        <w:rPr>
          <w:sz w:val="20"/>
        </w:rPr>
        <w:t>A/B routing via user fingerprint (10% variant B)</w:t>
      </w:r>
    </w:p>
    <w:p>
      <w:pPr>
        <w:pStyle w:val="ListBullet"/>
        <w:ind w:left="283"/>
      </w:pPr>
      <w:r>
        <w:rPr>
          <w:sz w:val="20"/>
        </w:rPr>
        <w:t>7-day outcome window: worsening = Δstress ≥ 0.30 AND volatility ≥ 0.35</w:t>
      </w:r>
    </w:p>
    <w:p>
      <w:pPr>
        <w:pStyle w:val="ListBullet"/>
        <w:ind w:left="283"/>
      </w:pPr>
      <w:r>
        <w:rPr>
          <w:sz w:val="20"/>
        </w:rPr>
        <w:t>Drift alert threshold: |recentMean − overallMean| ≥ 0.20</w:t>
      </w:r>
    </w:p>
    <w:p>
      <w:pPr>
        <w:pStyle w:val="ListBullet"/>
        <w:ind w:left="283"/>
      </w:pPr>
      <w:r>
        <w:rPr>
          <w:sz w:val="20"/>
        </w:rPr>
        <w:t>Auto-mitigation: degraded_cycles ≥ 2 → rules-only; recovery after 3 healthy cycles</w:t>
      </w:r>
    </w:p>
    <w:p>
      <w:pPr>
        <w:pStyle w:val="Heading2"/>
      </w:pPr>
      <w:r>
        <w:rPr>
          <w:color w:val="1A569A"/>
          <w:sz w:val="26"/>
        </w:rPr>
        <w:t>9.3 Explainability validation</w:t>
      </w:r>
    </w:p>
    <w:p>
      <w:pPr>
        <w:pStyle w:val="ListBullet"/>
        <w:ind w:left="283"/>
      </w:pPr>
      <w:r>
        <w:rPr>
          <w:sz w:val="20"/>
        </w:rPr>
        <w:t>Comprehension test: correct interpretation ≥ 80% (NFR-004)</w:t>
      </w:r>
    </w:p>
    <w:p>
      <w:pPr>
        <w:pStyle w:val="ListBullet"/>
        <w:ind w:left="283"/>
      </w:pPr>
      <w:r>
        <w:rPr>
          <w:sz w:val="20"/>
        </w:rPr>
        <w:t>Trust uplift: ≥ +10% vs no-explanation cohort (NFR-005)</w:t>
      </w:r>
    </w:p>
    <w:p>
      <w:pPr>
        <w:pStyle w:val="ListBullet"/>
        <w:ind w:left="283"/>
      </w:pPr>
      <w:r>
        <w:rPr>
          <w:sz w:val="20"/>
        </w:rPr>
        <w:t>Safety audit: no diagnostic overclaim language in explanations</w:t>
      </w:r>
    </w:p>
    <w:p>
      <w:pPr>
        <w:pStyle w:val="Heading2"/>
      </w:pPr>
      <w:r>
        <w:rPr>
          <w:color w:val="1A569A"/>
          <w:sz w:val="26"/>
        </w:rPr>
        <w:t>9.4 Clinical plausibility</w:t>
      </w:r>
    </w:p>
    <w:p>
      <w:pPr>
        <w:pStyle w:val="ListBullet"/>
        <w:ind w:left="283"/>
      </w:pPr>
      <w:r>
        <w:rPr>
          <w:sz w:val="20"/>
        </w:rPr>
        <w:t>Concordance with PHQ-9/GAD-7 scores where available</w:t>
      </w:r>
    </w:p>
    <w:p>
      <w:pPr>
        <w:pStyle w:val="ListBullet"/>
        <w:ind w:left="283"/>
      </w:pPr>
      <w:r>
        <w:rPr>
          <w:sz w:val="20"/>
        </w:rPr>
        <w:t>Review of escalation paths for high risk + low confidence combinations</w:t>
      </w:r>
    </w:p>
    <w:p>
      <w:pPr>
        <w:pStyle w:val="ListBullet"/>
        <w:ind w:left="283"/>
      </w:pPr>
      <w:r>
        <w:rPr>
          <w:sz w:val="20"/>
        </w:rPr>
        <w:t>Human oversight policy for high-impact decisions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222A5C"/>
          <w:sz w:val="32"/>
        </w:rPr>
        <w:t>10. Traceability Summary (RQ → H → EXP → Metric → Claim)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680"/>
            <w:shd w:val="clear" w:color="auto" w:fill="D6E4F7"/>
          </w:tcPr>
          <w:p>
            <w:r>
              <w:rPr>
                <w:b/>
                <w:sz w:val="18"/>
              </w:rPr>
              <w:t>RQ</w:t>
            </w:r>
          </w:p>
        </w:tc>
        <w:tc>
          <w:tcPr>
            <w:tcW w:type="dxa" w:w="907"/>
            <w:shd w:val="clear" w:color="auto" w:fill="D6E4F7"/>
          </w:tcPr>
          <w:p>
            <w:r>
              <w:rPr>
                <w:b/>
                <w:sz w:val="18"/>
              </w:rPr>
              <w:t>Hypothesis</w:t>
            </w:r>
          </w:p>
        </w:tc>
        <w:tc>
          <w:tcPr>
            <w:tcW w:type="dxa" w:w="1701"/>
            <w:shd w:val="clear" w:color="auto" w:fill="D6E4F7"/>
          </w:tcPr>
          <w:p>
            <w:r>
              <w:rPr>
                <w:b/>
                <w:sz w:val="18"/>
              </w:rPr>
              <w:t>Experiment</w:t>
            </w:r>
          </w:p>
        </w:tc>
        <w:tc>
          <w:tcPr>
            <w:tcW w:type="dxa" w:w="2381"/>
            <w:shd w:val="clear" w:color="auto" w:fill="D6E4F7"/>
          </w:tcPr>
          <w:p>
            <w:r>
              <w:rPr>
                <w:b/>
                <w:sz w:val="18"/>
              </w:rPr>
              <w:t>Metrics</w:t>
            </w:r>
          </w:p>
        </w:tc>
        <w:tc>
          <w:tcPr>
            <w:tcW w:type="dxa" w:w="3118"/>
            <w:shd w:val="clear" w:color="auto" w:fill="D6E4F7"/>
          </w:tcPr>
          <w:p>
            <w:r>
              <w:rPr>
                <w:b/>
                <w:sz w:val="18"/>
              </w:rPr>
              <w:t>Scientific Claim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RQ1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H2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EXP-AB-001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Calibration error, Brier score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Personal baseline improves prediction precision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RQ2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H1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EXP-HYB-002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AUROC, false alert rate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Hybrid decision policy improves accuracy/safety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RQ3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H3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EXP-XAI-003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Trust uplift, comprehension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Explanations improve decision adoption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RQ4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H4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EXP-004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Drift resilience index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Adaptive features improve prediction stability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RQ5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H5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EXP-GOV-004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Degraded cycle duration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Governance loops reduce operational risk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222A5C"/>
          <w:sz w:val="32"/>
        </w:rPr>
        <w:t>11. Development Roadmap (12–24 Months)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551"/>
            <w:shd w:val="clear" w:color="auto" w:fill="D6E4F7"/>
          </w:tcPr>
          <w:p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850"/>
            <w:shd w:val="clear" w:color="auto" w:fill="D6E4F7"/>
          </w:tcPr>
          <w:p>
            <w:r>
              <w:rPr>
                <w:b/>
                <w:sz w:val="18"/>
              </w:rPr>
              <w:t>Month</w:t>
            </w:r>
          </w:p>
        </w:tc>
        <w:tc>
          <w:tcPr>
            <w:tcW w:type="dxa" w:w="4252"/>
            <w:shd w:val="clear" w:color="auto" w:fill="D6E4F7"/>
          </w:tcPr>
          <w:p>
            <w:r>
              <w:rPr>
                <w:b/>
                <w:sz w:val="18"/>
              </w:rPr>
              <w:t>Deliverable</w:t>
            </w:r>
          </w:p>
        </w:tc>
        <w:tc>
          <w:tcPr>
            <w:tcW w:type="dxa" w:w="850"/>
            <w:shd w:val="clear" w:color="auto" w:fill="D6E4F7"/>
          </w:tcPr>
          <w:p>
            <w:r>
              <w:rPr>
                <w:b/>
                <w:sz w:val="18"/>
              </w:rPr>
              <w:t>TRL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M1 — Protocol freeze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Feature spec, dataset spec, evaluation protocol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4→5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M2 — Hybrid v1 validated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Offline ablation report, H1 status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M3 — Adaptive baseline optimised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M9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Per-cohort α/ρ parameters, H2 status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5→6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M4 — Clinical concordance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PHQ-9/GAD-7 wiring, rules R9–R10 activated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M5 — Online governance proven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M15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H5 status, policy stability audit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6→7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M6 — Pilot evidence package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M18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Pilot outcomes, reproducibility dossier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M7 — Platform reuse case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M24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Second-domain DIP integration, H5 replication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</w:tr>
    </w:tbl>
    <w:p/>
    <w:p>
      <w:r>
        <w:rPr>
          <w:sz w:val="20"/>
        </w:rPr>
        <w:t>Target TRL at project end:</w:t>
      </w:r>
    </w:p>
    <w:p>
      <w:pPr>
        <w:pStyle w:val="ListBullet"/>
        <w:ind w:left="283"/>
      </w:pPr>
      <w:r>
        <w:rPr>
          <w:sz w:val="20"/>
        </w:rPr>
        <w:t>DIP decision governance stack: TRL 6–7</w:t>
      </w:r>
    </w:p>
    <w:p>
      <w:pPr>
        <w:pStyle w:val="ListBullet"/>
        <w:ind w:left="283"/>
      </w:pPr>
      <w:r>
        <w:rPr>
          <w:sz w:val="20"/>
        </w:rPr>
        <w:t>Explainability and evaluation framework: TRL 6–7</w:t>
      </w:r>
    </w:p>
    <w:p>
      <w:pPr>
        <w:pStyle w:val="ListBullet"/>
        <w:ind w:left="283"/>
      </w:pPr>
      <w:r>
        <w:rPr>
          <w:sz w:val="20"/>
        </w:rPr>
        <w:t>Dzvin.co production integration: TRL 7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222A5C"/>
          <w:sz w:val="32"/>
        </w:rPr>
        <w:t>12. Expected Scientific Results</w:t>
      </w:r>
    </w:p>
    <w:p>
      <w:pPr>
        <w:pStyle w:val="ListBullet"/>
        <w:ind w:left="283"/>
      </w:pPr>
      <w:r>
        <w:rPr>
          <w:sz w:val="20"/>
        </w:rPr>
        <w:t>2+ peer-reviewed publications or preprints (adaptive risk modelling, hybrid decision governance)</w:t>
      </w:r>
    </w:p>
    <w:p>
      <w:pPr>
        <w:pStyle w:val="ListBullet"/>
        <w:ind w:left="283"/>
      </w:pPr>
      <w:r>
        <w:rPr>
          <w:sz w:val="20"/>
        </w:rPr>
        <w:t>Open algorithm specification for state-vector-based wellbeing risk assessment</w:t>
      </w:r>
    </w:p>
    <w:p>
      <w:pPr>
        <w:pStyle w:val="ListBullet"/>
        <w:ind w:left="283"/>
      </w:pPr>
      <w:r>
        <w:rPr>
          <w:sz w:val="20"/>
        </w:rPr>
        <w:t>Reproducibility pack for each of H1–H5 (datasets, code snapshots, experiment artifacts)</w:t>
      </w:r>
    </w:p>
    <w:p>
      <w:pPr>
        <w:pStyle w:val="ListBullet"/>
        <w:ind w:left="283"/>
      </w:pPr>
      <w:r>
        <w:rPr>
          <w:sz w:val="20"/>
        </w:rPr>
        <w:t>Technical whitepaper for practitioners in the HR/wellbeing domain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sz w:val="20"/>
        </w:rPr>
        <w:t>Horizon Europe References: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