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A. Наукова постановка задачі</w:t>
      </w:r>
    </w:p>
    <w:p>
      <w:pPr>
        <w:jc w:val="center"/>
      </w:pPr>
      <w:r>
        <w:rPr>
          <w:sz w:val="24"/>
        </w:rPr>
        <w:t>Scientific Problem Statement — R&amp;D Grant Package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A. Наукова постановка задачі</w:t>
      </w:r>
    </w:p>
    <w:p>
      <w:r>
        <w:rPr>
          <w:sz w:val="20"/>
        </w:rPr>
        <w:t>&gt; Ścieżka SMART B+R — Документ A</w:t>
      </w:r>
    </w:p>
    <w:p>
      <w:r>
        <w:rPr>
          <w:sz w:val="20"/>
        </w:rPr>
        <w:t>&gt; Версія: 0.1 | 2026-08-08 | Чернетка</w:t>
      </w:r>
    </w:p>
    <w:p/>
    <w:p>
      <w:pPr>
        <w:pStyle w:val="Heading2"/>
      </w:pPr>
      <w:r>
        <w:rPr>
          <w:color w:val="1A569A"/>
          <w:sz w:val="24"/>
        </w:rPr>
        <w:t>1. Постановка наукової проблеми</w:t>
      </w:r>
    </w:p>
    <w:p>
      <w:pPr>
        <w:pStyle w:val="Heading3"/>
      </w:pPr>
      <w:r>
        <w:rPr>
          <w:color w:val="2E75B6"/>
          <w:sz w:val="22"/>
        </w:rPr>
        <w:t>1.1 Контекст</w:t>
      </w:r>
    </w:p>
    <w:p>
      <w:r>
        <w:rPr>
          <w:sz w:val="20"/>
        </w:rPr>
        <w:t>Психічне здоров'я на робочому місці є зростаючою проблемою з вимірюваним економічним впливом. За даними Gallup (2023), вигорання та хронічний стрес спричиняють від 5% до 25% втрати продуктивності й підвищують плинність кадрів на 2–10%. WHO оцінює глобальні економічні втрати від депресії та тривожних розладів у $1 трлн щорічно через знижену продуктивність.</w:t>
      </w:r>
    </w:p>
    <w:p>
      <w:r>
        <w:rPr>
          <w:sz w:val="20"/>
        </w:rPr>
        <w:t xml:space="preserve">Корпоративні платформи wellbeing збирають поведінкові дані (рівень стресу, настрою, енергії, фокусу) з метою раннього виявлення ризику погіршення психічного стану. Проте </w:t>
      </w:r>
      <w:r>
        <w:rPr>
          <w:b/>
          <w:sz w:val="20"/>
        </w:rPr>
        <w:t>методи оцінювання ризику в цих системах залишаються на рівні точкових оцінок на основі фіксованих порогових значень</w:t>
      </w:r>
      <w:r>
        <w:rPr>
          <w:sz w:val="20"/>
        </w:rPr>
        <w:t>, що принципово обмежує їхню точність і безпеку.</w:t>
      </w:r>
    </w:p>
    <w:p>
      <w:pPr>
        <w:pStyle w:val="Heading3"/>
      </w:pPr>
      <w:r>
        <w:rPr>
          <w:color w:val="2E75B6"/>
          <w:sz w:val="22"/>
        </w:rPr>
        <w:t>1.2 Конкретна наукова проблема</w:t>
      </w:r>
    </w:p>
    <w:p>
      <w:r>
        <w:rPr>
          <w:sz w:val="20"/>
        </w:rPr>
        <w:t>Поточні методи оцінювання індивідуального поведінкового ризику мають три взаємопов'язані обмеження, які є предметом цього дослідження:</w:t>
      </w:r>
    </w:p>
    <w:p>
      <w:r>
        <w:rPr>
          <w:sz w:val="20"/>
        </w:rPr>
      </w:r>
      <w:r>
        <w:rPr>
          <w:b/>
          <w:sz w:val="20"/>
        </w:rPr>
        <w:t>Проблема 1: Відсутність персоналізованого baseline</w:t>
      </w:r>
      <w:r>
        <w:rPr>
          <w:sz w:val="20"/>
        </w:rPr>
      </w:r>
    </w:p>
    <w:p>
      <w:r>
        <w:rPr>
          <w:sz w:val="20"/>
        </w:rPr>
        <w:t>Більшість систем порівнюють поточний стан користувача з _популяційним середнім_ або з _фіксованими порогами_ (наприклад, stress ≥ 4.0 → high risk). Це призводить до:</w:t>
      </w:r>
    </w:p>
    <w:p>
      <w:pPr>
        <w:pStyle w:val="ListBullet"/>
        <w:ind w:left="283"/>
      </w:pPr>
      <w:r>
        <w:rPr>
          <w:sz w:val="20"/>
        </w:rPr>
        <w:t>хибнопозитивних результатів у осіб із хронічно підвищеним, але стабільним стресом;</w:t>
      </w:r>
    </w:p>
    <w:p>
      <w:pPr>
        <w:pStyle w:val="ListBullet"/>
        <w:ind w:left="283"/>
      </w:pPr>
      <w:r>
        <w:rPr>
          <w:sz w:val="20"/>
        </w:rPr>
        <w:t>хибнонегативних результатів у осіб зі значним погіршенням, якщо їхній рівень не перевищує фіксований поріг.</w:t>
      </w:r>
    </w:p>
    <w:p>
      <w:r>
        <w:rPr>
          <w:sz w:val="20"/>
        </w:rPr>
        <w:t xml:space="preserve">Ключовий факт: </w:t>
      </w:r>
      <w:r>
        <w:rPr>
          <w:b/>
          <w:sz w:val="20"/>
        </w:rPr>
        <w:t>ми не знаємо, чи персоналізований baseline достатньо покращує точність прогнозу, щоб обґрунтувати додаткову складність</w:t>
      </w:r>
      <w:r>
        <w:rPr>
          <w:sz w:val="20"/>
        </w:rPr>
        <w:t>.</w:t>
      </w:r>
    </w:p>
    <w:p>
      <w:r>
        <w:rPr>
          <w:sz w:val="20"/>
        </w:rPr>
      </w:r>
      <w:r>
        <w:rPr>
          <w:b/>
          <w:sz w:val="20"/>
        </w:rPr>
        <w:t>Проблема 2: Point estimate без оцінки невизначеності</w:t>
      </w:r>
      <w:r>
        <w:rPr>
          <w:sz w:val="20"/>
        </w:rPr>
      </w:r>
    </w:p>
    <w:p>
      <w:r>
        <w:rPr>
          <w:sz w:val="20"/>
        </w:rPr>
        <w:t>Скалярна оцінка ризику (наприклад, riskScore = 0.78) не несе інформації про:</w:t>
      </w:r>
    </w:p>
    <w:p>
      <w:pPr>
        <w:pStyle w:val="ListBullet"/>
        <w:ind w:left="283"/>
      </w:pPr>
      <w:r>
        <w:rPr>
          <w:sz w:val="20"/>
        </w:rPr>
        <w:t>довірчий інтервал цієї оцінки;</w:t>
      </w:r>
    </w:p>
    <w:p>
      <w:pPr>
        <w:pStyle w:val="ListBullet"/>
        <w:ind w:left="283"/>
      </w:pPr>
      <w:r>
        <w:rPr>
          <w:sz w:val="20"/>
        </w:rPr>
        <w:t>чутливість до помилок у вхідних даних;</w:t>
      </w:r>
    </w:p>
    <w:p>
      <w:pPr>
        <w:pStyle w:val="ListBullet"/>
        <w:ind w:left="283"/>
      </w:pPr>
      <w:r>
        <w:rPr>
          <w:sz w:val="20"/>
        </w:rPr>
        <w:t>найкращий і найгірший сценарій в умовах неповних даних.</w:t>
      </w:r>
    </w:p>
    <w:p>
      <w:r>
        <w:rPr>
          <w:sz w:val="20"/>
        </w:rPr>
        <w:t>У задачах із потенційно серйозними наслідками рішення на основі точкової оцінки без меж невизначеності є методологічно незахищеним.</w:t>
      </w:r>
    </w:p>
    <w:p>
      <w:r>
        <w:rPr>
          <w:sz w:val="20"/>
        </w:rPr>
      </w:r>
      <w:r>
        <w:rPr>
          <w:b/>
          <w:sz w:val="20"/>
        </w:rPr>
        <w:t>Проблема 3: Статичні ваги без теоретичного обґрунтування</w:t>
      </w:r>
      <w:r>
        <w:rPr>
          <w:sz w:val="20"/>
        </w:rPr>
      </w:r>
    </w:p>
    <w:p>
      <w:r>
        <w:rPr>
          <w:sz w:val="20"/>
        </w:rPr>
        <w:t xml:space="preserve">Наявні реалізації (включно з прототипом цього проєкту) використовують вручну підібрані ваги (наприклад, stress × 0.34 + mood × 0.22 + …). </w:t>
      </w:r>
      <w:r>
        <w:rPr>
          <w:b/>
          <w:sz w:val="20"/>
        </w:rPr>
        <w:t>Ці ваги не є доведено оптимальними</w:t>
      </w:r>
      <w:r>
        <w:rPr>
          <w:sz w:val="20"/>
        </w:rPr>
        <w:t>:</w:t>
      </w:r>
    </w:p>
    <w:p>
      <w:pPr>
        <w:pStyle w:val="ListBullet"/>
        <w:ind w:left="283"/>
      </w:pPr>
      <w:r>
        <w:rPr>
          <w:sz w:val="20"/>
        </w:rPr>
        <w:t>вони не мінімізують явну цільову функцію;</w:t>
      </w:r>
    </w:p>
    <w:p>
      <w:pPr>
        <w:pStyle w:val="ListBullet"/>
        <w:ind w:left="283"/>
      </w:pPr>
      <w:r>
        <w:rPr>
          <w:sz w:val="20"/>
        </w:rPr>
        <w:t>немає доказів їхньої стабільності при дрейфі даних;</w:t>
      </w:r>
    </w:p>
    <w:p>
      <w:pPr>
        <w:pStyle w:val="ListBullet"/>
        <w:ind w:left="283"/>
      </w:pPr>
      <w:r>
        <w:rPr>
          <w:sz w:val="20"/>
        </w:rPr>
        <w:t>немає порівняльного аналізу з альтернативними методами.</w:t>
      </w:r>
    </w:p>
    <w:p/>
    <w:p>
      <w:pPr>
        <w:pStyle w:val="Heading2"/>
      </w:pPr>
      <w:r>
        <w:rPr>
          <w:color w:val="1A569A"/>
          <w:sz w:val="24"/>
        </w:rPr>
        <w:t>2. Аналіз сучасних підходів</w:t>
      </w:r>
    </w:p>
    <w:p>
      <w:pPr>
        <w:pStyle w:val="Heading3"/>
      </w:pPr>
      <w:r>
        <w:rPr>
          <w:color w:val="2E75B6"/>
          <w:sz w:val="22"/>
        </w:rPr>
        <w:t>2.1 Категорії методів</w:t>
      </w:r>
    </w:p>
    <w:p>
      <w:r>
        <w:rPr>
          <w:rFonts w:ascii="Courier New" w:hAnsi="Courier New"/>
          <w:sz w:val="20"/>
        </w:rPr>
        <w:t>| Клас                              | Приклади                          | Що вміє                             | Обмеження                                                     |</w:t>
      </w:r>
    </w:p>
    <w:p>
      <w:r>
        <w:rPr>
          <w:rFonts w:ascii="Courier New" w:hAnsi="Courier New"/>
          <w:sz w:val="20"/>
        </w:rPr>
        <w:t>| --------------------------------- | --------------------------------- | ----------------------------------- | ------------------------------------------------------------- |</w:t>
      </w:r>
    </w:p>
    <w:p>
      <w:r>
        <w:rPr>
          <w:rFonts w:ascii="Courier New" w:hAnsi="Courier New"/>
          <w:sz w:val="20"/>
        </w:rPr>
        <w:t>| Статичні порогові правила         | Більшість HR-платформ             | Прості, інтерпретовані              | Не персоналізовані; фіксовані пороги; немає невизначеності    |</w:t>
      </w:r>
    </w:p>
    <w:p>
      <w:r>
        <w:rPr>
          <w:rFonts w:ascii="Courier New" w:hAnsi="Courier New"/>
          <w:sz w:val="20"/>
        </w:rPr>
        <w:t>| Логістична регресія               | Класичні clinical risk models     | Статистично обґрунтована            | Лінійна; не враховує динаміку; точкова оцінка                 |</w:t>
      </w:r>
    </w:p>
    <w:p>
      <w:r>
        <w:rPr>
          <w:rFonts w:ascii="Courier New" w:hAnsi="Courier New"/>
          <w:sz w:val="20"/>
        </w:rPr>
        <w:t>| EWMA + z-score                    | Промислові аномалія-детектори     | Персоналізує baseline               | Відсутня оцінка невизначеності; ваги вручну                   |</w:t>
      </w:r>
    </w:p>
    <w:p>
      <w:r>
        <w:rPr>
          <w:rFonts w:ascii="Courier New" w:hAnsi="Courier New"/>
          <w:sz w:val="20"/>
        </w:rPr>
        <w:t>| Прихована марківська модель (HMM) | Психіатричні дослідження          | Моделює латентні стани              | Потребує великих навчальних вибірок; складна інтерпретація    |</w:t>
      </w:r>
    </w:p>
    <w:p>
      <w:r>
        <w:rPr>
          <w:rFonts w:ascii="Courier New" w:hAnsi="Courier New"/>
          <w:sz w:val="20"/>
        </w:rPr>
        <w:t>| LSTM / RNN                        | ML-based risk prediction          | Враховує часові залежності          | Чорна скринька; нестабільний при drift; не дає невизначеності |</w:t>
      </w:r>
    </w:p>
    <w:p>
      <w:r>
        <w:rPr>
          <w:rFonts w:ascii="Courier New" w:hAnsi="Courier New"/>
          <w:sz w:val="20"/>
        </w:rPr>
        <w:t>| Байєсівські мережі                | Клінічні системи прийняття рішень | Оцінка ймовірності з невизначеністю | Потребує апріорних знань; складне калібрування                |</w:t>
      </w:r>
    </w:p>
    <w:p>
      <w:r>
        <w:rPr>
          <w:rFonts w:ascii="Courier New" w:hAnsi="Courier New"/>
          <w:sz w:val="20"/>
        </w:rPr>
        <w:t>| Конформне прогнозування           | Recent ML research                | Дає гарантовані інтервали прогнозу  | Рідко застосовується до wellbeing; не враховує динаміку стану |</w:t>
      </w:r>
    </w:p>
    <w:p>
      <w:pPr>
        <w:pStyle w:val="Heading3"/>
      </w:pPr>
      <w:r>
        <w:rPr>
          <w:color w:val="2E75B6"/>
          <w:sz w:val="22"/>
        </w:rPr>
        <w:t>2.2 Спільне обмеження існуючих підходів</w:t>
      </w:r>
    </w:p>
    <w:p>
      <w:r>
        <w:rPr>
          <w:sz w:val="20"/>
        </w:rPr>
        <w:t>Жоден із задокументованих методів не поєднує одночасно:</w:t>
      </w:r>
    </w:p>
    <w:p>
      <w:r>
        <w:rPr>
          <w:sz w:val="20"/>
        </w:rPr>
        <w:t>1. Персоналізований динамічний baseline з формальними довірчими інтервалами</w:t>
      </w:r>
    </w:p>
    <w:p>
      <w:r>
        <w:rPr>
          <w:sz w:val="20"/>
        </w:rPr>
        <w:t>2. Векторне представлення стану з урахуванням декількох вимірів одночасно</w:t>
      </w:r>
    </w:p>
    <w:p>
      <w:r>
        <w:rPr>
          <w:sz w:val="20"/>
        </w:rPr>
        <w:t>3. Мінімаксне оцінювання в умовах неповних даних</w:t>
      </w:r>
    </w:p>
    <w:p>
      <w:r>
        <w:rPr>
          <w:sz w:val="20"/>
        </w:rPr>
        <w:t>4. Явну оцінку стабільності системи в часі</w:t>
      </w:r>
    </w:p>
    <w:p>
      <w:r>
        <w:rPr>
          <w:sz w:val="20"/>
        </w:rPr>
        <w:t xml:space="preserve">Це підтверджує, що </w:t>
      </w:r>
      <w:r>
        <w:rPr>
          <w:b/>
          <w:sz w:val="20"/>
        </w:rPr>
        <w:t>пропонований підхід спрямований на заповнення конкретної методологічної прогалини</w:t>
      </w:r>
      <w:r>
        <w:rPr>
          <w:sz w:val="20"/>
        </w:rPr>
        <w:t>, а не лише на інженерне покращення наявних рішень.</w:t>
      </w:r>
    </w:p>
    <w:p/>
    <w:p>
      <w:pPr>
        <w:pStyle w:val="Heading2"/>
      </w:pPr>
      <w:r>
        <w:rPr>
          <w:color w:val="1A569A"/>
          <w:sz w:val="24"/>
        </w:rPr>
        <w:t>3. Гіпотеза дослідження</w:t>
      </w:r>
    </w:p>
    <w:p>
      <w:pPr>
        <w:pStyle w:val="Heading3"/>
      </w:pPr>
      <w:r>
        <w:rPr>
          <w:color w:val="2E75B6"/>
          <w:sz w:val="22"/>
        </w:rPr>
        <w:t>Головна гіпотеза</w:t>
      </w:r>
    </w:p>
    <w:p>
      <w:r>
        <w:rPr>
          <w:sz w:val="20"/>
        </w:rPr>
      </w:r>
      <w:r>
        <w:rPr>
          <w:b/>
          <w:sz w:val="20"/>
        </w:rPr>
        <w:t>Метод оцінювання динамічного поведінкового ризику на основі векторного представлення стану з персоналізованим EWMA-baseline і мінімаксним оцінюванням перевершує методи точкової оцінки з фіксованими порогами за критеріями калібрування, точності в сегменті підвищеного ризику і стабільності прогнозу в умовах дрейфу даних.</w:t>
      </w:r>
      <w:r>
        <w:rPr>
          <w:sz w:val="20"/>
        </w:rPr>
      </w:r>
    </w:p>
    <w:p>
      <w:pPr>
        <w:pStyle w:val="Heading3"/>
      </w:pPr>
      <w:r>
        <w:rPr>
          <w:color w:val="2E75B6"/>
          <w:sz w:val="22"/>
        </w:rPr>
        <w:t>Деком­позиція на перевірювані гіпотези</w:t>
      </w:r>
    </w:p>
    <w:p>
      <w:r>
        <w:rPr>
          <w:rFonts w:ascii="Courier New" w:hAnsi="Courier New"/>
          <w:sz w:val="20"/>
        </w:rPr>
        <w:t>| ID  | Формулювання                                                                              | Метрики                                | Нульова гіпотеза              |</w:t>
      </w:r>
    </w:p>
    <w:p>
      <w:r>
        <w:rPr>
          <w:rFonts w:ascii="Courier New" w:hAnsi="Courier New"/>
          <w:sz w:val="20"/>
        </w:rPr>
        <w:t>| --- | ----------------------------------------------------------------------------------------- | -------------------------------------- | ----------------------------- |</w:t>
      </w:r>
    </w:p>
    <w:p>
      <w:r>
        <w:rPr>
          <w:rFonts w:ascii="Courier New" w:hAnsi="Courier New"/>
          <w:sz w:val="20"/>
        </w:rPr>
        <w:t>| H1  | Персоналізований EWMA-baseline знижує calibration error порівняно з популяційним baseline | Calibration Error (CE), Brier Score    | CE(EWMA) = CE(population)     |</w:t>
      </w:r>
    </w:p>
    <w:p>
      <w:r>
        <w:rPr>
          <w:rFonts w:ascii="Courier New" w:hAnsi="Courier New"/>
          <w:sz w:val="20"/>
        </w:rPr>
        <w:t>| H2  | Векторний riskScore (5 вимірів) має кращий AUROC, ніж одновимірний stress-threshold       | AUROC, AUPRC                           | AUROC(vector) = AUROC(scalar) |</w:t>
      </w:r>
    </w:p>
    <w:p>
      <w:r>
        <w:rPr>
          <w:rFonts w:ascii="Courier New" w:hAnsi="Courier New"/>
          <w:sz w:val="20"/>
        </w:rPr>
        <w:t>| H3  | Мінімаксні межі [R_best, R_worst] покривають ≥90% реальних outcome-значень                | Interval coverage rate                 | Coverage = 50% (chance level) |</w:t>
      </w:r>
    </w:p>
    <w:p>
      <w:r>
        <w:rPr>
          <w:rFonts w:ascii="Courier New" w:hAnsi="Courier New"/>
          <w:sz w:val="20"/>
        </w:rPr>
        <w:t>| H4  | Оптимізовані ваги знижують calibration error порівняно з вручну підібраними               | CE перед і після оптимізації           | CE(optimized) = CE(manual)    |</w:t>
      </w:r>
    </w:p>
    <w:p>
      <w:r>
        <w:rPr>
          <w:rFonts w:ascii="Courier New" w:hAnsi="Courier New"/>
          <w:sz w:val="20"/>
        </w:rPr>
        <w:t>| H5  | Оцінка системної стабільності корелює з фактичною стійкістю прогнозу під drift            | Pearson r(stability, drift_resilience) | r = 0                         |</w:t>
      </w:r>
    </w:p>
    <w:p>
      <w:pPr>
        <w:pStyle w:val="Heading3"/>
      </w:pPr>
      <w:r>
        <w:rPr>
          <w:color w:val="2E75B6"/>
          <w:sz w:val="22"/>
        </w:rPr>
        <w:t>Умова фальсифікації</w:t>
      </w:r>
    </w:p>
    <w:p>
      <w:r>
        <w:rPr>
          <w:sz w:val="20"/>
        </w:rPr>
        <w:t>Кожна гіпотеза вважається спростованою, якщо:</w:t>
      </w:r>
    </w:p>
    <w:p>
      <w:pPr>
        <w:pStyle w:val="ListBullet"/>
        <w:ind w:left="283"/>
      </w:pPr>
      <w:r>
        <w:rPr>
          <w:sz w:val="20"/>
        </w:rPr>
        <w:t>різниця не досягає статистичної значущості (p &lt; 0.05, з корекцією Бенджаміні-Хохберга);</w:t>
      </w:r>
    </w:p>
    <w:p>
      <w:pPr>
        <w:pStyle w:val="ListBullet"/>
        <w:ind w:left="283"/>
      </w:pPr>
      <w:r>
        <w:rPr>
          <w:sz w:val="20"/>
        </w:rPr>
        <w:t>довірчий інтервал ефекту містить нуль або несприятливу зону;</w:t>
      </w:r>
    </w:p>
    <w:p>
      <w:pPr>
        <w:pStyle w:val="ListBullet"/>
        <w:ind w:left="283"/>
      </w:pPr>
      <w:r>
        <w:rPr>
          <w:sz w:val="20"/>
        </w:rPr>
        <w:t>результат не відтворюється в незалежному запуску на іншій ковзній вибірці.</w:t>
      </w:r>
    </w:p>
    <w:p/>
    <w:p>
      <w:pPr>
        <w:pStyle w:val="Heading2"/>
      </w:pPr>
      <w:r>
        <w:rPr>
          <w:color w:val="1A569A"/>
          <w:sz w:val="24"/>
        </w:rPr>
        <w:t>4. Математична модель</w:t>
      </w:r>
    </w:p>
    <w:p>
      <w:pPr>
        <w:pStyle w:val="Heading3"/>
      </w:pPr>
      <w:r>
        <w:rPr>
          <w:color w:val="2E75B6"/>
          <w:sz w:val="22"/>
        </w:rPr>
        <w:t>4.1 Вектор стану (State Vector)</w:t>
      </w:r>
    </w:p>
    <w:p>
      <w:pPr>
        <w:jc w:val="center"/>
      </w:pPr>
      <w:r>
        <w:rPr>
          <w:i/>
          <w:sz w:val="21"/>
        </w:rPr>
        <w:t>$$\mathbf{x}_t = (s_t,\; m_t,\; \sigma_t,\; r_t,\; \zeta_t)^\top \in \mathbb{R}^5$$</w:t>
      </w:r>
    </w:p>
    <w:p>
      <w:r>
        <w:rPr>
          <w:sz w:val="20"/>
        </w:rPr>
        <w:t>Де: $s$ — стрес, $m$ — настрій, $\sigma$ — волатильність, $r$ — recovery rate, $\zeta$ — соціальна стабільність. Кожен вимір нормовано до $[0,1]$.</w:t>
      </w:r>
    </w:p>
    <w:p>
      <w:pPr>
        <w:pStyle w:val="Heading3"/>
      </w:pPr>
      <w:r>
        <w:rPr>
          <w:color w:val="2E75B6"/>
          <w:sz w:val="22"/>
        </w:rPr>
        <w:t>4.2 Персоналізований baseline (EWMA)</w:t>
      </w:r>
    </w:p>
    <w:p>
      <w:pPr>
        <w:jc w:val="center"/>
      </w:pPr>
      <w:r>
        <w:rPr>
          <w:i/>
          <w:sz w:val="21"/>
        </w:rPr>
        <w:t>$$\hat{s}_t = \alpha s_t + (1-\alpha)\hat{s}_{t-1}, \quad \alpha = 0.38$$</w:t>
      </w:r>
    </w:p>
    <w:p>
      <w:pPr>
        <w:jc w:val="center"/>
      </w:pPr>
      <w:r>
        <w:rPr>
          <w:i/>
          <w:sz w:val="21"/>
        </w:rPr>
        <w:t>$$\hat{\sigma}_t = \max\!\left(\sqrt{\frac{\sum_i \rho^{N-1-i}(s_i-\hat{s})^2}{\sum_i \rho^{N-1-i}}},\; 0.18\right), \quad \rho = 0.92$$</w:t>
      </w:r>
    </w:p>
    <w:p>
      <w:r>
        <w:rPr>
          <w:sz w:val="20"/>
        </w:rPr>
      </w:r>
      <w:r>
        <w:rPr>
          <w:b/>
          <w:sz w:val="20"/>
        </w:rPr>
        <w:t>Відкрите питання</w:t>
      </w:r>
      <w:r>
        <w:rPr>
          <w:sz w:val="20"/>
        </w:rPr>
        <w:t>: чи є $\alpha = 0.38$ і $\rho = 0.92$ оптимальними? Це один із ключових параметрів, що підлягає оптимізації в ході B+R.</w:t>
      </w:r>
    </w:p>
    <w:p>
      <w:pPr>
        <w:pStyle w:val="Heading3"/>
      </w:pPr>
      <w:r>
        <w:rPr>
          <w:color w:val="2E75B6"/>
          <w:sz w:val="22"/>
        </w:rPr>
        <w:t>4.3 Допустимий простір станів і мінімаксне оцінювання</w:t>
      </w:r>
    </w:p>
    <w:p>
      <w:pPr>
        <w:jc w:val="center"/>
      </w:pPr>
      <w:r>
        <w:rPr>
          <w:i/>
          <w:sz w:val="21"/>
        </w:rPr>
        <w:t>$$\mathcal{F} = \prod_{d \in \{s,m,\sigma,r,\zeta\}} \left[\mathbf{x}_t^{(d)} - \Delta_d,\; \mathbf{x}_t^{(d)} + \Delta_d\right]$$</w:t>
      </w:r>
    </w:p>
    <w:p>
      <w:r>
        <w:rPr>
          <w:sz w:val="20"/>
        </w:rPr>
        <w:t>де $\Delta_d$ — довірчі margins, що залежать від якості baseline-оцінки.</w:t>
      </w:r>
    </w:p>
    <w:p>
      <w:r>
        <w:rPr>
          <w:sz w:val="20"/>
        </w:rPr>
        <w:t>Мінімакс:</w:t>
      </w:r>
    </w:p>
    <w:p>
      <w:pPr>
        <w:jc w:val="center"/>
      </w:pPr>
      <w:r>
        <w:rPr>
          <w:i/>
          <w:sz w:val="21"/>
        </w:rPr>
        <w:t>$$R_{\text{worst}} = \max_{\mathbf{x} \in \mathcal{F}} f(\mathbf{x}), \quad R_{\text{best}} = \min_{\mathbf{x} \in \mathcal{F}} f(\mathbf{x})$$</w:t>
      </w:r>
    </w:p>
    <w:p>
      <w:r>
        <w:rPr>
          <w:sz w:val="20"/>
        </w:rPr>
      </w:r>
      <w:r>
        <w:rPr>
          <w:b/>
          <w:sz w:val="20"/>
        </w:rPr>
        <w:t>Відкрите питання</w:t>
      </w:r>
      <w:r>
        <w:rPr>
          <w:sz w:val="20"/>
        </w:rPr>
        <w:t>: чи дає $[R_{\text{best}}, R_{\text{worst}}]$ статистично обґрунтовані довірчі інтервали? Як $\Delta_d$ співвідноситься з bootstrap CI?</w:t>
      </w:r>
    </w:p>
    <w:p>
      <w:pPr>
        <w:pStyle w:val="Heading3"/>
      </w:pPr>
      <w:r>
        <w:rPr>
          <w:color w:val="2E75B6"/>
          <w:sz w:val="22"/>
        </w:rPr>
        <w:t>4.4 Ризик стану (State Risk)</w:t>
      </w:r>
    </w:p>
    <w:p>
      <w:pPr>
        <w:jc w:val="center"/>
      </w:pPr>
      <w:r>
        <w:rPr>
          <w:i/>
          <w:sz w:val="21"/>
        </w:rPr>
        <w:t>$$\text{stateRisk}(\mathbf{x}) = w_s s_{\text{norm}} + w_m(1-m_{\text{norm}}) + w_\sigma\sigma_{\text{norm}} + w_r(1-r) + w_\zeta(1-\zeta)$$</w:t>
      </w:r>
    </w:p>
    <w:p>
      <w:pPr>
        <w:jc w:val="center"/>
      </w:pPr>
      <w:r>
        <w:rPr>
          <w:i/>
          <w:sz w:val="21"/>
        </w:rPr>
        <w:t>$$\mathbf{w} = (0.34, 0.22, 0.18, 0.16, 0.10), \quad \sum w_i = 1$$</w:t>
      </w:r>
    </w:p>
    <w:p>
      <w:r>
        <w:rPr>
          <w:sz w:val="20"/>
        </w:rPr>
      </w:r>
      <w:r>
        <w:rPr>
          <w:b/>
          <w:sz w:val="20"/>
        </w:rPr>
        <w:t>Відкрите питання</w:t>
      </w:r>
      <w:r>
        <w:rPr>
          <w:sz w:val="20"/>
        </w:rPr>
        <w:t>: це ручно задані ваги. Оптимальні ваги будуть розраховані через:</w:t>
      </w:r>
    </w:p>
    <w:p>
      <w:pPr>
        <w:jc w:val="center"/>
      </w:pPr>
      <w:r>
        <w:rPr>
          <w:i/>
          <w:sz w:val="21"/>
        </w:rPr>
        <w:t>$$\hat{\mathbf{w}} = \arg\min_{\mathbf{w} \geq 0,\; \sum w_i=1}\; \mathbb{E}\bigl[|\text{riskScore}(\mathbf{w}) - Y_{\text{actual}}|\bigr]$$</w:t>
      </w:r>
    </w:p>
    <w:p>
      <w:pPr>
        <w:pStyle w:val="Heading3"/>
      </w:pPr>
      <w:r>
        <w:rPr>
          <w:color w:val="2E75B6"/>
          <w:sz w:val="22"/>
        </w:rPr>
        <w:t>4.5 Оцінка стабільності системи</w:t>
      </w:r>
    </w:p>
    <w:p>
      <w:pPr>
        <w:jc w:val="center"/>
      </w:pPr>
      <w:r>
        <w:rPr>
          <w:i/>
          <w:sz w:val="21"/>
        </w:rPr>
        <w:t>$$\text{stability} = 1 - 0.4\,\delta_{\text{state}} - 0.35\,(R_{\text{worst}}-R_{\text{best}}) - 0.15\,\sigma_{\text{norm}} + 0.12\,r + 0.08\,\zeta$$</w:t>
      </w:r>
    </w:p>
    <w:p>
      <w:r>
        <w:rPr>
          <w:sz w:val="20"/>
        </w:rPr>
        <w:t>де $\delta_{\text{state}}$ — середнє відхилення між поточним і прогнозованим вектором стану.</w:t>
      </w:r>
    </w:p>
    <w:p/>
    <w:p>
      <w:pPr>
        <w:pStyle w:val="Heading2"/>
      </w:pPr>
      <w:r>
        <w:rPr>
          <w:color w:val="1A569A"/>
          <w:sz w:val="24"/>
        </w:rPr>
        <w:t>5. Що ще невідомо і потребує дослідження</w:t>
      </w:r>
    </w:p>
    <w:p>
      <w:r>
        <w:rPr>
          <w:rFonts w:ascii="Courier New" w:hAnsi="Courier New"/>
          <w:sz w:val="20"/>
        </w:rPr>
        <w:t>| Відкрите питання                                      | Формальний вид                                  | Де досліджується |</w:t>
      </w:r>
    </w:p>
    <w:p>
      <w:r>
        <w:rPr>
          <w:rFonts w:ascii="Courier New" w:hAnsi="Courier New"/>
          <w:sz w:val="20"/>
        </w:rPr>
        <w:t>| ----------------------------------------------------- | ----------------------------------------------- | ---------------- |</w:t>
      </w:r>
    </w:p>
    <w:p>
      <w:r>
        <w:rPr>
          <w:rFonts w:ascii="Courier New" w:hAnsi="Courier New"/>
          <w:sz w:val="20"/>
        </w:rPr>
        <w:t>| Чи є ваги $(0.34, \ldots)$ оптимальними?              | $\hat{\mathbf{w}}$ — незнайоме                  | Д4, Д8           |</w:t>
      </w:r>
    </w:p>
    <w:p>
      <w:r>
        <w:rPr>
          <w:rFonts w:ascii="Courier New" w:hAnsi="Courier New"/>
          <w:sz w:val="20"/>
        </w:rPr>
        <w:t>| Чи є $\alpha=0.38$, $\rho=0.92$ оптимальними?         | Гіперпараметрична задача                        | Д3, Д8           |</w:t>
      </w:r>
    </w:p>
    <w:p>
      <w:r>
        <w:rPr>
          <w:rFonts w:ascii="Courier New" w:hAnsi="Courier New"/>
          <w:sz w:val="20"/>
        </w:rPr>
        <w:t>| Чи дають мінімаксні межі статистично обґрунтовані CI? | $P(\text{coverage} \geq 0.9)$                   | Д5, Д7           |</w:t>
      </w:r>
    </w:p>
    <w:p>
      <w:r>
        <w:rPr>
          <w:rFonts w:ascii="Courier New" w:hAnsi="Courier New"/>
          <w:sz w:val="20"/>
        </w:rPr>
        <w:t>| Чи перевершує векторний підхід скалярні baseline?     | $\Delta\text{AUROC}$, $\Delta\text{CE}$         | Д8               |</w:t>
      </w:r>
    </w:p>
    <w:p>
      <w:r>
        <w:rPr>
          <w:rFonts w:ascii="Courier New" w:hAnsi="Courier New"/>
          <w:sz w:val="20"/>
        </w:rPr>
        <w:t>| Чи корелює оцінка стабільності з реальною стійкістю?  | $r(\text{stability}, \text{drift\_resilience})$ | Д7, Д9           |</w:t>
      </w:r>
    </w:p>
    <w:p>
      <w:r>
        <w:rPr>
          <w:rFonts w:ascii="Courier New" w:hAnsi="Courier New"/>
          <w:sz w:val="20"/>
        </w:rPr>
        <w:t>| Як розповсюджується ризик на командний рівень?        | Мережева модель поширення                       | Д5, Д6           |</w:t>
      </w:r>
    </w:p>
    <w:p/>
    <w:p>
      <w:pPr>
        <w:pStyle w:val="Heading2"/>
      </w:pPr>
      <w:r>
        <w:rPr>
          <w:color w:val="1A569A"/>
          <w:sz w:val="24"/>
        </w:rPr>
        <w:t>6. Роль академічного партнера (КНУ)</w:t>
      </w:r>
    </w:p>
    <w:p>
      <w:r>
        <w:rPr>
          <w:sz w:val="20"/>
        </w:rPr>
        <w:t>Кафедра математики / теорії ймовірностей та математичної статистики відповідає за:</w:t>
      </w:r>
    </w:p>
    <w:p>
      <w:pPr>
        <w:pStyle w:val="ListBullet"/>
        <w:ind w:left="283"/>
      </w:pPr>
      <w:r>
        <w:rPr>
          <w:sz w:val="20"/>
        </w:rPr>
        <w:t>Формальний доказ існування та єдиності рішення задачі $\hat{\mathbf{w}}$ (§4.4)</w:t>
      </w:r>
    </w:p>
    <w:p>
      <w:pPr>
        <w:pStyle w:val="ListBullet"/>
        <w:ind w:left="283"/>
      </w:pPr>
      <w:r>
        <w:rPr>
          <w:sz w:val="20"/>
        </w:rPr>
        <w:t>Теоретичне обґрунтування збіжності EWMA-оцінки (§4.2)</w:t>
      </w:r>
    </w:p>
    <w:p>
      <w:pPr>
        <w:pStyle w:val="ListBullet"/>
        <w:ind w:left="283"/>
      </w:pPr>
      <w:r>
        <w:rPr>
          <w:sz w:val="20"/>
        </w:rPr>
        <w:t>Доведення умов покриття мінімаксних інтервалів (§4.3)</w:t>
      </w:r>
    </w:p>
    <w:p>
      <w:pPr>
        <w:pStyle w:val="ListBullet"/>
        <w:ind w:left="283"/>
      </w:pPr>
      <w:r>
        <w:rPr>
          <w:sz w:val="20"/>
        </w:rPr>
        <w:t>Незалежну статистичну верифікацію всіх гіпотез H1–H5</w:t>
      </w:r>
    </w:p>
    <w:p>
      <w:pPr>
        <w:pStyle w:val="ListBullet"/>
        <w:ind w:left="283"/>
      </w:pPr>
      <w:r>
        <w:rPr>
          <w:sz w:val="20"/>
        </w:rPr>
        <w:t>Наукову публікацію результатів</w:t>
      </w:r>
    </w:p>
    <w:p>
      <w:r>
        <w:rPr>
          <w:sz w:val="20"/>
        </w:rPr>
        <w:t>Дослідницька група проєкту відповідає за:</w:t>
      </w:r>
    </w:p>
    <w:p>
      <w:pPr>
        <w:pStyle w:val="ListBullet"/>
        <w:ind w:left="283"/>
      </w:pPr>
      <w:r>
        <w:rPr>
          <w:sz w:val="20"/>
        </w:rPr>
        <w:t>Реалізацію алгоритму і його оптимізації</w:t>
      </w:r>
    </w:p>
    <w:p>
      <w:pPr>
        <w:pStyle w:val="ListBullet"/>
        <w:ind w:left="283"/>
      </w:pPr>
      <w:r>
        <w:rPr>
          <w:sz w:val="20"/>
        </w:rPr>
        <w:t>Збір та підготовку даних</w:t>
      </w:r>
    </w:p>
    <w:p>
      <w:pPr>
        <w:pStyle w:val="ListBullet"/>
        <w:ind w:left="283"/>
      </w:pPr>
      <w:r>
        <w:rPr>
          <w:sz w:val="20"/>
        </w:rPr>
        <w:t>Проведення експериментів та backtesting</w:t>
      </w:r>
    </w:p>
    <w:p>
      <w:pPr>
        <w:pStyle w:val="ListBullet"/>
        <w:ind w:left="283"/>
      </w:pPr>
      <w:r>
        <w:rPr>
          <w:sz w:val="20"/>
        </w:rPr>
        <w:t>Розробку прототипу і тестової платформи</w:t>
      </w:r>
    </w:p>
    <w:p/>
    <w:p>
      <w:pPr>
        <w:pStyle w:val="Heading2"/>
      </w:pPr>
      <w:r>
        <w:rPr>
          <w:color w:val="1A569A"/>
          <w:sz w:val="24"/>
        </w:rPr>
        <w:t>Посилання</w:t>
      </w:r>
    </w:p>
    <w:p>
      <w:pPr>
        <w:pStyle w:val="ListBullet"/>
        <w:ind w:left="283"/>
      </w:pPr>
      <w:r>
        <w:rPr>
          <w:sz w:val="20"/>
        </w:rPr>
        <w:t>Пов'язані документи: B-plan-br.md, C-eksperymentalna-metodolohiia.md, ../research/12-knu-rd-plan.md</w:t>
      </w:r>
    </w:p>
    <w:p>
      <w:pPr>
        <w:pStyle w:val="ListBullet"/>
        <w:ind w:left="283"/>
      </w:pPr>
      <w:r>
        <w:rPr>
          <w:sz w:val="20"/>
        </w:rPr>
        <w:t>Технічна база: ../grant/appendices/A03-metrics-calculation-sheet.md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