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Part B — Section 3: Implementation</w:t>
      </w:r>
    </w:p>
    <w:p>
      <w:pPr>
        <w:jc w:val="center"/>
      </w:pPr>
      <w:r>
        <w:rPr>
          <w:sz w:val="26"/>
        </w:rPr>
        <w:t>Work Plan, Budget, Risk and TRL</w:t>
      </w:r>
    </w:p>
    <w:p>
      <w:pPr>
        <w:jc w:val="center"/>
      </w:pPr>
      <w:r>
        <w:rPr>
          <w:color w:val="555555"/>
          <w:sz w:val="20"/>
        </w:rPr>
        <w:t>Dzvin.co + DIP  |  2026-08-08  |  Grant Application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3.1 Work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shd w:val="clear" w:color="auto" w:fill="D6E4F7"/>
          </w:tcPr>
          <w:p>
            <w:r>
              <w:rPr>
                <w:b/>
                <w:sz w:val="18"/>
              </w:rPr>
              <w:t>WP</w:t>
            </w:r>
          </w:p>
        </w:tc>
        <w:tc>
          <w:tcPr>
            <w:tcW w:type="dxa" w:w="2154"/>
            <w:shd w:val="clear" w:color="auto" w:fill="D6E4F7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Objectives</w:t>
            </w:r>
          </w:p>
        </w:tc>
        <w:tc>
          <w:tcPr>
            <w:tcW w:type="dxa" w:w="2835"/>
            <w:shd w:val="clear" w:color="auto" w:fill="D6E4F7"/>
          </w:tcPr>
          <w:p>
            <w:r>
              <w:rPr>
                <w:b/>
                <w:sz w:val="18"/>
              </w:rPr>
              <w:t>Lead Deliverables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WP1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Management and Governance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Coordination, quality gates, risk governance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Management plan, periodic reports, risk register updates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WP2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Data Foundation and Compliance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Dataset readiness, quality, GDPR/ethics controls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Dataset specs, quality dashboards, compliance dossier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WP3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Decision Intelligence Core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Rule/ML/policy engine, traceability hardening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Architecture releases, decision contract versions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WP4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Explainability and Validation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XAI framework, offline/online evaluation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Evaluation reports, bias audits, reproducibility pack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WP5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Dzvin.co Pilots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Product integration, controlled rollout, user validation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Pilot outcomes, adoption metrics, implementation learnings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WP6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Impact and Exploitation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Dissemination, commercialisation, partner uptake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Impact reports, exploitation roadmap, dissemination outputs</w:t>
            </w:r>
          </w:p>
        </w:tc>
      </w:tr>
    </w:tbl>
    <w:p/>
    <w:p>
      <w:pPr>
        <w:pStyle w:val="Heading2"/>
      </w:pPr>
      <w:r>
        <w:rPr>
          <w:color w:val="1A569A"/>
          <w:sz w:val="24"/>
        </w:rPr>
        <w:t>WP Dependencies</w:t>
      </w:r>
    </w:p>
    <w:p>
      <w:pPr>
        <w:pStyle w:val="ListBullet"/>
      </w:pPr>
      <w:r>
        <w:rPr>
          <w:sz w:val="20"/>
        </w:rPr>
        <w:t>WP2 gates WP3 and WP4 (data readiness required before model development)</w:t>
      </w:r>
    </w:p>
    <w:p>
      <w:pPr>
        <w:pStyle w:val="ListBullet"/>
      </w:pPr>
      <w:r>
        <w:rPr>
          <w:sz w:val="20"/>
        </w:rPr>
        <w:t>WP3 outputs feed WP5 rollout (decision engine must be stable before pilot)</w:t>
      </w:r>
    </w:p>
    <w:p>
      <w:pPr>
        <w:pStyle w:val="ListBullet"/>
      </w:pPr>
      <w:r>
        <w:rPr>
          <w:sz w:val="20"/>
        </w:rPr>
        <w:t>WP4 evidence informs WP6 impact narrative</w:t>
      </w:r>
    </w:p>
    <w:p>
      <w:pPr>
        <w:pStyle w:val="Heading1"/>
      </w:pPr>
      <w:r>
        <w:rPr>
          <w:color w:val="222A5C"/>
          <w:sz w:val="30"/>
        </w:rPr>
        <w:t>3.2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6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850"/>
            <w:shd w:val="clear" w:color="auto" w:fill="D6E4F7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4819"/>
            <w:shd w:val="clear" w:color="auto" w:fill="D6E4F7"/>
          </w:tcPr>
          <w:p>
            <w:r>
              <w:rPr>
                <w:b/>
                <w:sz w:val="18"/>
              </w:rPr>
              <w:t>Success Criterion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Baseline and protocol freeze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Feature spec, dataset spec, evaluation protocol signed off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Hybrid engine v1 validated offline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H1 status determined; ablation report published internally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Adaptive baseline optimised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Per-cohort α/ρ; H2 status; calibration error &lt; 0.15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Clinical concordance verified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PHQ-9/GAD-7 wiring active; R9-R10 rules operational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Online governance proven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M15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H5 status; degraded cycle duration reduced vs baseline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Pilot evidence package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M18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Pilot KPI targets met; reproducibility dossier complete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Platform reuse case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M24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Second-domain DIP integration; H5 replicated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3.3 Budget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Cost Category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WP Allocation</w:t>
            </w:r>
          </w:p>
        </w:tc>
        <w:tc>
          <w:tcPr>
            <w:tcW w:type="dxa" w:w="3969"/>
            <w:shd w:val="clear" w:color="auto" w:fill="D6E4F7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All WPs (largest share WP2/WP3)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Core R&amp;D, data engineering, ML, product, management FTEs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Subcontracting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WP2, WP4 (KNU collaboration)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Academic partnership: statistical validation, theory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Cloud/infrastructure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WP3, WP4, WP5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Model training, evaluation compute, storage, security tooling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Travel and dissemination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WP6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Conference attendance, workshop organisation, publications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Indirect costs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All WPs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Per-institution overhead rate as per grant rules</w:t>
            </w:r>
          </w:p>
        </w:tc>
      </w:tr>
    </w:tbl>
    <w:p/>
    <w:p>
      <w:r>
        <w:rPr>
          <w:sz w:val="20"/>
        </w:rPr>
        <w:t>Note: detailed budget table with EUR amounts to be completed per funding call template.</w:t>
      </w:r>
    </w:p>
    <w:p>
      <w:pPr>
        <w:pStyle w:val="Heading1"/>
      </w:pPr>
      <w:r>
        <w:rPr>
          <w:color w:val="222A5C"/>
          <w:sz w:val="30"/>
        </w:rPr>
        <w:t>3.4 TRL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134"/>
            <w:shd w:val="clear" w:color="auto" w:fill="D6E4F7"/>
          </w:tcPr>
          <w:p>
            <w:r>
              <w:rPr>
                <w:b/>
                <w:sz w:val="18"/>
              </w:rPr>
              <w:t>Current TRL</w:t>
            </w:r>
          </w:p>
        </w:tc>
        <w:tc>
          <w:tcPr>
            <w:tcW w:type="dxa" w:w="1134"/>
            <w:shd w:val="clear" w:color="auto" w:fill="D6E4F7"/>
          </w:tcPr>
          <w:p>
            <w:r>
              <w:rPr>
                <w:b/>
                <w:sz w:val="18"/>
              </w:rPr>
              <w:t>Target TRL</w:t>
            </w:r>
          </w:p>
        </w:tc>
        <w:tc>
          <w:tcPr>
            <w:tcW w:type="dxa" w:w="3969"/>
            <w:shd w:val="clear" w:color="auto" w:fill="D6E4F7"/>
          </w:tcPr>
          <w:p>
            <w:r>
              <w:rPr>
                <w:b/>
                <w:sz w:val="18"/>
              </w:rPr>
              <w:t>Key Evidence Required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DIP Core (API, rule engine, decision trace)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Pilot-grade reliability, audit trail, governance logs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ML Pipeline (training, registry, monitoring)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Reproducible evaluation, drift controls, rollback evidence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Adaptive Risk (state vector, minimax, EWMA)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Offline ablation H1/H2; online governance H5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Explainability Stack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 trust study H3; faithfulness validation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Dzvin.co Integration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Stable pilot; adoption metrics; reproducibility dossier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3.5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134"/>
            <w:shd w:val="clear" w:color="auto" w:fill="D6E4F7"/>
          </w:tcPr>
          <w:p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1020"/>
            <w:shd w:val="clear" w:color="auto" w:fill="D6E4F7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082"/>
            <w:shd w:val="clear" w:color="auto" w:fill="D6E4F7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Insufficient training data for weight optimisation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Synthetic augmentation; transfer learning; conservative fallback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PHQ-9/GAD-7 clinical concordance not achieved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Conservative threshold; rules R9-R10 stay inactive; separate study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Pilot adoption below target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Iterative UX; onboarding playbook; explainability tuning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Model drift causes degraded decisions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Auto-mitigation (rules-only mode); trust gating; rollback triggers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GDPR compliance gap during pilot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DPIA before pilot launch; SOP enforcement; DPO sign-off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Horizon Europe References:</w:t>
      </w:r>
    </w:p>
    <w:p>
      <w:pPr>
        <w:pStyle w:val="ListBullet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