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22A5C"/>
          <w:sz w:val="44"/>
        </w:rPr>
        <w:t>KNU R&amp;D Collaboration Plan</w:t>
      </w:r>
    </w:p>
    <w:p>
      <w:pPr>
        <w:jc w:val="center"/>
      </w:pPr>
      <w:r>
        <w:rPr>
          <w:sz w:val="28"/>
        </w:rPr>
        <w:t>Dzvin.co + Decision Intelligence Platform (DIP)</w:t>
      </w:r>
    </w:p>
    <w:p>
      <w:pPr>
        <w:jc w:val="center"/>
      </w:pPr>
      <w:r>
        <w:rPr>
          <w:color w:val="555555"/>
          <w:sz w:val="20"/>
        </w:rPr>
        <w:t>Version 0.1  |  2026-08-08  |  Draft for Grant Application</w:t>
      </w:r>
    </w:p>
    <w:p>
      <w:r>
        <w:br w:type="page"/>
      </w:r>
    </w:p>
    <w:p>
      <w:pPr>
        <w:pStyle w:val="Heading1"/>
      </w:pPr>
      <w:r>
        <w:rPr>
          <w:color w:val="222A5C"/>
          <w:sz w:val="32"/>
        </w:rPr>
        <w:t>1. Mathematical Problem</w:t>
      </w:r>
    </w:p>
    <w:p>
      <w:r>
        <w:rPr>
          <w:b/>
          <w:sz w:val="20"/>
        </w:rPr>
        <w:t>The current risk model uses fixed, manually tuned weights and thresholds:</w:t>
      </w:r>
    </w:p>
    <w:p>
      <w:pPr>
        <w:pStyle w:val="ListBullet"/>
        <w:ind w:left="283"/>
      </w:pPr>
      <w:r>
        <w:rPr>
          <w:sz w:val="20"/>
        </w:rPr>
        <w:t>State risk weights: (0.34 / 0.22 / 0.18 / 0.16 / 0.10)</w:t>
      </w:r>
    </w:p>
    <w:p>
      <w:pPr>
        <w:pStyle w:val="ListBullet"/>
        <w:ind w:left="283"/>
      </w:pPr>
      <w:r>
        <w:rPr>
          <w:sz w:val="20"/>
        </w:rPr>
        <w:t>EWMA coefficients: α = 0.38, decay ρ = 0.92</w:t>
      </w:r>
    </w:p>
    <w:p>
      <w:pPr>
        <w:pStyle w:val="ListBullet"/>
        <w:ind w:left="283"/>
      </w:pPr>
      <w:r>
        <w:rPr>
          <w:sz w:val="20"/>
        </w:rPr>
        <w:t>Decision thresholds: 0.38 / 0.68 for risk levels;  0.45 / 0.65 for trust</w:t>
      </w:r>
    </w:p>
    <w:p>
      <w:r>
        <w:rPr>
          <w:sz w:val="20"/>
        </w:rPr>
        <w:t>Formal research objective:</w:t>
      </w:r>
    </w:p>
    <w:p>
      <w:pPr>
        <w:jc w:val="center"/>
      </w:pPr>
      <w:r>
        <w:rPr>
          <w:i/>
          <w:sz w:val="21"/>
        </w:rPr>
        <w:t>ŵ, θ̂  =  argmin_{w,θ}  E[(x,y)] [ L( f_{w,θ}(x), y ) ]</w:t>
      </w:r>
    </w:p>
    <w:p>
      <w:pPr>
        <w:jc w:val="center"/>
      </w:pPr>
      <w:r>
        <w:rPr>
          <w:i/>
          <w:sz w:val="21"/>
        </w:rPr>
        <w:t>subject to:  Σ wᵢ = 1,  wᵢ ≥ 0</w:t>
      </w:r>
    </w:p>
    <w:p>
      <w:r>
        <w:rPr>
          <w:sz w:val="20"/>
        </w:rPr>
        <w:t>where L is a calibration-aware loss function, f is the hybrid decision function, and y ∈ {worsened, not_worsened} is the measured outcome.</w:t>
      </w:r>
    </w:p>
    <w:p>
      <w:pPr>
        <w:pStyle w:val="Heading1"/>
      </w:pPr>
      <w:r>
        <w:rPr>
          <w:color w:val="222A5C"/>
          <w:sz w:val="32"/>
        </w:rPr>
        <w:t>2. Existing Approach and Its Weaknesses</w:t>
      </w:r>
    </w:p>
    <w:p>
      <w:r>
        <w:rPr>
          <w:b/>
          <w:sz w:val="20"/>
        </w:rPr>
        <w:t>Existing approach: heuristic composition of signals with manual calibration.</w:t>
      </w:r>
    </w:p>
    <w:p>
      <w:r>
        <w:rPr>
          <w:sz w:val="20"/>
        </w:rPr>
        <w:t>Weaknesses:</w:t>
      </w:r>
    </w:p>
    <w:p>
      <w:pPr>
        <w:pStyle w:val="ListBullet"/>
        <w:ind w:left="283"/>
      </w:pPr>
      <w:r>
        <w:rPr>
          <w:sz w:val="20"/>
        </w:rPr>
        <w:t>No theoretical guarantee of weight optimality</w:t>
      </w:r>
    </w:p>
    <w:p>
      <w:pPr>
        <w:pStyle w:val="ListBullet"/>
        <w:ind w:left="283"/>
      </w:pPr>
      <w:r>
        <w:rPr>
          <w:sz w:val="20"/>
        </w:rPr>
        <w:t>Fixed thresholds do not adapt to the population distribution</w:t>
      </w:r>
    </w:p>
    <w:p>
      <w:pPr>
        <w:pStyle w:val="ListBullet"/>
        <w:ind w:left="283"/>
      </w:pPr>
      <w:r>
        <w:rPr>
          <w:sz w:val="20"/>
        </w:rPr>
        <w:t>No formal uncertainty model for the feasible state space</w:t>
      </w:r>
    </w:p>
    <w:p>
      <w:pPr>
        <w:pStyle w:val="ListBullet"/>
        <w:ind w:left="283"/>
      </w:pPr>
      <w:r>
        <w:rPr>
          <w:sz w:val="20"/>
        </w:rPr>
        <w:t>Minimax bounds rely on conservative approximations, not statistically grounded intervals</w:t>
      </w:r>
    </w:p>
    <w:p>
      <w:pPr>
        <w:pStyle w:val="Heading1"/>
      </w:pPr>
      <w:r>
        <w:rPr>
          <w:color w:val="222A5C"/>
          <w:sz w:val="32"/>
        </w:rPr>
        <w:t>3. Proposed New Model</w:t>
      </w:r>
    </w:p>
    <w:p>
      <w:r>
        <w:rPr>
          <w:sz w:val="20"/>
        </w:rPr>
        <w:t>Replace manual heuristics with data-driven formalism:</w:t>
      </w:r>
    </w:p>
    <w:p>
      <w:pPr>
        <w:pStyle w:val="ListBullet"/>
        <w:ind w:left="283"/>
      </w:pPr>
      <w:r>
        <w:rPr>
          <w:sz w:val="20"/>
        </w:rPr>
        <w:t>Weight optimisation: constrained optimization (Bayesian / projected gradient) on outcome data</w:t>
      </w:r>
    </w:p>
    <w:p>
      <w:pPr>
        <w:pStyle w:val="ListBullet"/>
        <w:ind w:left="283"/>
      </w:pPr>
      <w:r>
        <w:rPr>
          <w:sz w:val="20"/>
        </w:rPr>
        <w:t>Personalised thresholds: per-cohort calibration with isotonic regression</w:t>
      </w:r>
    </w:p>
    <w:p>
      <w:pPr>
        <w:pStyle w:val="ListBullet"/>
        <w:ind w:left="283"/>
      </w:pPr>
      <w:r>
        <w:rPr>
          <w:sz w:val="20"/>
        </w:rPr>
        <w:t>Formal credible intervals: bootstrap-based instead of fixed margins</w:t>
      </w:r>
    </w:p>
    <w:p>
      <w:pPr>
        <w:pStyle w:val="ListBullet"/>
        <w:ind w:left="283"/>
      </w:pPr>
      <w:r>
        <w:rPr>
          <w:sz w:val="20"/>
        </w:rPr>
        <w:t>Minimax → decision theory: formal mapping of worst-case bounds to intervention policy</w:t>
      </w:r>
    </w:p>
    <w:p>
      <w:pPr>
        <w:pStyle w:val="Heading1"/>
      </w:pPr>
      <w:r>
        <w:rPr>
          <w:color w:val="222A5C"/>
          <w:sz w:val="32"/>
        </w:rPr>
        <w:t>4. Faculty Research Scope (Work Distribution)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118"/>
            <w:shd w:val="clear" w:color="auto" w:fill="D6E4F7"/>
          </w:tcPr>
          <w:p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2551"/>
            <w:shd w:val="clear" w:color="auto" w:fill="D6E4F7"/>
          </w:tcPr>
          <w:p>
            <w:r>
              <w:rPr>
                <w:b/>
                <w:sz w:val="18"/>
              </w:rPr>
              <w:t>Responsible</w:t>
            </w:r>
          </w:p>
        </w:tc>
        <w:tc>
          <w:tcPr>
            <w:tcW w:type="dxa" w:w="3118"/>
            <w:shd w:val="clear" w:color="auto" w:fill="D6E4F7"/>
          </w:tcPr>
          <w:p>
            <w:r>
              <w:rPr>
                <w:b/>
                <w:sz w:val="18"/>
              </w:rPr>
              <w:t>KNU Contribution</w:t>
            </w:r>
          </w:p>
        </w:tc>
      </w:tr>
      <w:tr>
        <w:tc>
          <w:tcPr>
            <w:tcW w:type="dxa" w:w="3118"/>
          </w:tcPr>
          <w:p>
            <w:r>
              <w:rPr>
                <w:sz w:val="18"/>
              </w:rPr>
              <w:t>Weight and threshold optimisation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Faculty / ML Lead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Convergence theory, loss function selection</w:t>
            </w:r>
          </w:p>
        </w:tc>
      </w:tr>
      <w:tr>
        <w:tc>
          <w:tcPr>
            <w:tcW w:type="dxa" w:w="3118"/>
          </w:tcPr>
          <w:p>
            <w:r>
              <w:rPr>
                <w:sz w:val="18"/>
              </w:rPr>
              <w:t>Uncertainty quantification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Statistics faculty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Bootstrap CI, calibration theory</w:t>
            </w:r>
          </w:p>
        </w:tc>
      </w:tr>
      <w:tr>
        <w:tc>
          <w:tcPr>
            <w:tcW w:type="dxa" w:w="3118"/>
          </w:tcPr>
          <w:p>
            <w:r>
              <w:rPr>
                <w:sz w:val="18"/>
              </w:rPr>
              <w:t>Minimax decision formalisation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Faculty / Decision Science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Robust optimization, decision-theoretic bounds</w:t>
            </w:r>
          </w:p>
        </w:tc>
      </w:tr>
      <w:tr>
        <w:tc>
          <w:tcPr>
            <w:tcW w:type="dxa" w:w="3118"/>
          </w:tcPr>
          <w:p>
            <w:r>
              <w:rPr>
                <w:sz w:val="18"/>
              </w:rPr>
              <w:t>Time-series stability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Faculty / ML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Drift theory, stationarity tests</w:t>
            </w:r>
          </w:p>
        </w:tc>
      </w:tr>
      <w:tr>
        <w:tc>
          <w:tcPr>
            <w:tcW w:type="dxa" w:w="3118"/>
          </w:tcPr>
          <w:p>
            <w:r>
              <w:rPr>
                <w:sz w:val="18"/>
              </w:rPr>
              <w:t>Statistical validation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Statistics faculty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Hypothesis testing design, power analysis</w:t>
            </w:r>
          </w:p>
        </w:tc>
      </w:tr>
    </w:tbl>
    <w:p/>
    <w:p>
      <w:r>
        <w:rPr>
          <w:i/>
          <w:color w:val="555555"/>
          <w:sz w:val="18"/>
        </w:rPr>
        <w:t>Note: specific department names and supervisor names — to be filled after the collaboration agreement is signed.</w:t>
      </w:r>
    </w:p>
    <w:p>
      <w:pPr>
        <w:pStyle w:val="Heading1"/>
      </w:pPr>
      <w:r>
        <w:rPr>
          <w:color w:val="222A5C"/>
          <w:sz w:val="32"/>
        </w:rPr>
        <w:t>5. Experiments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1984"/>
            <w:shd w:val="clear" w:color="auto" w:fill="D6E4F7"/>
          </w:tcPr>
          <w:p>
            <w:r>
              <w:rPr>
                <w:b/>
                <w:sz w:val="18"/>
              </w:rPr>
              <w:t>ID</w:t>
            </w:r>
          </w:p>
        </w:tc>
        <w:tc>
          <w:tcPr>
            <w:tcW w:type="dxa" w:w="2835"/>
            <w:shd w:val="clear" w:color="auto" w:fill="D6E4F7"/>
          </w:tcPr>
          <w:p>
            <w:r>
              <w:rPr>
                <w:b/>
                <w:sz w:val="18"/>
              </w:rPr>
              <w:t>Research Question</w:t>
            </w:r>
          </w:p>
        </w:tc>
        <w:tc>
          <w:tcPr>
            <w:tcW w:type="dxa" w:w="2268"/>
            <w:shd w:val="clear" w:color="auto" w:fill="D6E4F7"/>
          </w:tcPr>
          <w:p>
            <w:r>
              <w:rPr>
                <w:b/>
                <w:sz w:val="18"/>
              </w:rPr>
              <w:t>Method</w:t>
            </w:r>
          </w:p>
        </w:tc>
        <w:tc>
          <w:tcPr>
            <w:tcW w:type="dxa" w:w="1701"/>
            <w:shd w:val="clear" w:color="auto" w:fill="D6E4F7"/>
          </w:tcPr>
          <w:p>
            <w:r>
              <w:rPr>
                <w:b/>
                <w:sz w:val="18"/>
              </w:rPr>
              <w:t>Owner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EXP-AB-001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Does a personal baseline improve calibration?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Segment comparison, bootstrap CI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ML Lead + KNU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EXP-HYB-002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Hybrid vs pure ML vs rules-only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Offline ablation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ML Lead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EXP-004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Stability of adaptive features under drift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Drift simulation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KNU (drift theory)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EXP-WEIGHT-006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Optimised weights vs manual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Constrained optimization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KNU + ML Lead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EXP-MINIMAX-007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Minimax vs point estimate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Interval coverage analysis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KNU (decision theory)</w:t>
            </w:r>
          </w:p>
        </w:tc>
      </w:tr>
    </w:tbl>
    <w:p/>
    <w:p>
      <w:pPr>
        <w:pStyle w:val="Heading1"/>
      </w:pPr>
      <w:r>
        <w:rPr>
          <w:color w:val="222A5C"/>
          <w:sz w:val="32"/>
        </w:rPr>
        <w:t>6. Success Criteria</w:t>
      </w:r>
    </w:p>
    <w:p>
      <w:pPr>
        <w:pStyle w:val="ListBullet"/>
        <w:ind w:left="283"/>
      </w:pPr>
      <w:r>
        <w:rPr>
          <w:sz w:val="20"/>
        </w:rPr>
        <w:t>Calibration error &lt; 0.15 after weight optimisation (currently not measured systematically)</w:t>
      </w:r>
    </w:p>
    <w:p>
      <w:pPr>
        <w:pStyle w:val="ListBullet"/>
        <w:ind w:left="283"/>
      </w:pPr>
      <w:r>
        <w:rPr>
          <w:sz w:val="20"/>
        </w:rPr>
        <w:t>AUROC of the optimised model ≥ baseline + preregistered margin, with 95% CI</w:t>
      </w:r>
    </w:p>
    <w:p>
      <w:pPr>
        <w:pStyle w:val="ListBullet"/>
        <w:ind w:left="283"/>
      </w:pPr>
      <w:r>
        <w:rPr>
          <w:sz w:val="20"/>
        </w:rPr>
        <w:t>Minimax interval coverage ≥ 90% on held-out data</w:t>
      </w:r>
    </w:p>
    <w:p>
      <w:pPr>
        <w:pStyle w:val="ListBullet"/>
        <w:ind w:left="283"/>
      </w:pPr>
      <w:r>
        <w:rPr>
          <w:sz w:val="20"/>
        </w:rPr>
        <w:t>Statistical significance of improvements (p &lt; 0.05, multiple-comparison corrected)</w:t>
      </w:r>
    </w:p>
    <w:p>
      <w:pPr>
        <w:pStyle w:val="Heading1"/>
      </w:pPr>
      <w:r>
        <w:rPr>
          <w:color w:val="222A5C"/>
          <w:sz w:val="32"/>
        </w:rPr>
        <w:t>7. Expected Scientific Results</w:t>
      </w:r>
    </w:p>
    <w:p>
      <w:pPr>
        <w:pStyle w:val="ListBullet"/>
        <w:ind w:left="283"/>
      </w:pPr>
      <w:r>
        <w:rPr>
          <w:sz w:val="20"/>
        </w:rPr>
        <w:t>Joint publication: "Adaptive risk modeling for corporate mental wellbeing" (peer-reviewed journal / conference)</w:t>
      </w:r>
    </w:p>
    <w:p>
      <w:pPr>
        <w:pStyle w:val="ListBullet"/>
        <w:ind w:left="283"/>
      </w:pPr>
      <w:r>
        <w:rPr>
          <w:sz w:val="20"/>
        </w:rPr>
        <w:t>Preprint with a formal description of hybrid decision governance</w:t>
      </w:r>
    </w:p>
    <w:p>
      <w:pPr>
        <w:pStyle w:val="ListBullet"/>
        <w:ind w:left="283"/>
      </w:pPr>
      <w:r>
        <w:rPr>
          <w:sz w:val="20"/>
        </w:rPr>
        <w:t>Open algorithm specification for state-vector risk assessment</w:t>
      </w:r>
    </w:p>
    <w:p>
      <w:pPr>
        <w:pStyle w:val="ListBullet"/>
        <w:ind w:left="283"/>
      </w:pPr>
      <w:r>
        <w:rPr>
          <w:sz w:val="20"/>
        </w:rPr>
        <w:t>KNU student theses (bachelor / master) based on project data (subject to ethics approval)</w:t>
      </w:r>
    </w:p>
    <w:p>
      <w:pPr>
        <w:pStyle w:val="Heading1"/>
      </w:pPr>
      <w:r>
        <w:rPr>
          <w:color w:val="222A5C"/>
          <w:sz w:val="32"/>
        </w:rPr>
        <w:t>8. Collaboration Model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2268"/>
            <w:shd w:val="clear" w:color="auto" w:fill="D6E4F7"/>
          </w:tcPr>
          <w:p>
            <w:r>
              <w:rPr>
                <w:b/>
                <w:sz w:val="18"/>
              </w:rPr>
              <w:t>Aspect</w:t>
            </w:r>
          </w:p>
        </w:tc>
        <w:tc>
          <w:tcPr>
            <w:tcW w:type="dxa" w:w="6520"/>
            <w:shd w:val="clear" w:color="auto" w:fill="D6E4F7"/>
          </w:tcPr>
          <w:p>
            <w:r>
              <w:rPr>
                <w:b/>
                <w:sz w:val="18"/>
              </w:rPr>
              <w:t>Details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Legal basis</w:t>
            </w:r>
          </w:p>
        </w:tc>
        <w:tc>
          <w:tcPr>
            <w:tcW w:type="dxa" w:w="6520"/>
          </w:tcPr>
          <w:p>
            <w:r>
              <w:rPr>
                <w:sz w:val="18"/>
              </w:rPr>
              <w:t>Research-and-technical collaboration agreement between the company and KNU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IP</w:t>
            </w:r>
          </w:p>
        </w:tc>
        <w:tc>
          <w:tcPr>
            <w:tcW w:type="dxa" w:w="6520"/>
          </w:tcPr>
          <w:p>
            <w:r>
              <w:rPr>
                <w:sz w:val="18"/>
              </w:rPr>
              <w:t>Joint scientific results are published; production policies remain proprietary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Data access</w:t>
            </w:r>
          </w:p>
        </w:tc>
        <w:tc>
          <w:tcPr>
            <w:tcW w:type="dxa" w:w="6520"/>
          </w:tcPr>
          <w:p>
            <w:r>
              <w:rPr>
                <w:sz w:val="18"/>
              </w:rPr>
              <w:t>Student/researcher access limited to pseudonymized / aggregated datasets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Cadence</w:t>
            </w:r>
          </w:p>
        </w:tc>
        <w:tc>
          <w:tcPr>
            <w:tcW w:type="dxa" w:w="6520"/>
          </w:tcPr>
          <w:p>
            <w:r>
              <w:rPr>
                <w:sz w:val="18"/>
              </w:rPr>
              <w:t>Monthly scientific reviews, quarterly milestone reports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sz w:val="20"/>
        </w:rPr>
        <w:t>Horizon Europe References:</w:t>
      </w:r>
    </w:p>
    <w:p>
      <w:pPr>
        <w:pStyle w:val="ListBullet"/>
        <w:ind w:left="283"/>
      </w:pPr>
      <w:r>
        <w:rPr>
          <w:sz w:val="20"/>
        </w:rPr>
        <w:t>EIC Work Programme 2026: https://eic.ec.europa.eu/eic-funding-opportunities/eic-pathfinder_en</w:t>
      </w:r>
    </w:p>
    <w:p>
      <w:pPr>
        <w:pStyle w:val="ListBullet"/>
        <w:ind w:left="283"/>
      </w:pPr>
      <w:r>
        <w:rPr>
          <w:sz w:val="20"/>
        </w:rPr>
        <w:t>Funding and Tenders Portal: https://research-and-innovation.ec.europa.eu/funding/how-apply/application-process_en</w:t>
      </w:r>
    </w:p>
    <w:p>
      <w:pPr>
        <w:pStyle w:val="ListBullet"/>
        <w:ind w:left="283"/>
      </w:pPr>
      <w:r>
        <w:rPr>
          <w:sz w:val="20"/>
        </w:rPr>
        <w:t>EIC Pathfinder FAQ: https://eic.ec.europa.eu/eic-frequently-asked-questions/faqs-general-conditions-and-eligibility_en</w:t>
      </w:r>
    </w:p>
    <w:p>
      <w:pPr>
        <w:pStyle w:val="ListBullet"/>
        <w:ind w:left="283"/>
      </w:pPr>
      <w:r>
        <w:rPr>
          <w:sz w:val="20"/>
        </w:rPr>
        <w:t>Evaluation Form: https://ec.europa.eu/info/funding-tenders/opportunities/docs/2021-2027/horizon/temp-form/ef/ef_he-eic-pathfinder-open_en.pdf</w:t>
      </w:r>
    </w:p>
    <w:p>
      <w:pPr>
        <w:pStyle w:val="ListBullet"/>
        <w:ind w:left="283"/>
      </w:pPr>
      <w:r>
        <w:rPr>
          <w:sz w:val="20"/>
        </w:rPr>
        <w:t>Advice for Applicants: https://rea.ec.europa.eu/guidance/advice-applicants_en</w:t>
      </w:r>
    </w:p>
    <w:sectPr w:rsidR="00FC693F" w:rsidRPr="0006063C" w:rsidSect="00034616">
      <w:pgSz w:w="12240" w:h="15840"/>
      <w:pgMar w:top="1417" w:right="1134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