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F. Innovation Analysis — Comparative Table</w:t>
      </w:r>
    </w:p>
    <w:p>
      <w:pPr>
        <w:jc w:val="center"/>
      </w:pPr>
      <w:r>
        <w:rPr>
          <w:sz w:val="24"/>
        </w:rPr>
        <w:t>R&amp;D Grant Package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F. Innovation Analysis — Comparative Table</w:t>
      </w:r>
    </w:p>
    <w:p>
      <w:r>
        <w:rPr>
          <w:sz w:val="20"/>
        </w:rPr>
        <w:t>&gt; R&amp;D Grant Package</w:t>
      </w:r>
    </w:p>
    <w:p>
      <w:r>
        <w:rPr>
          <w:sz w:val="20"/>
        </w:rPr>
        <w:t>&gt; Version: 0.1 | 2026-08-08 |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 xml:space="preserve">Довести </w:t>
      </w:r>
      <w:r>
        <w:rPr>
          <w:b/>
          <w:sz w:val="20"/>
        </w:rPr>
        <w:t>щонайменше національний рівень інноваційності</w:t>
      </w:r>
      <w:r>
        <w:rPr>
          <w:sz w:val="20"/>
        </w:rPr>
        <w:t xml:space="preserve"> через систематичне порівняння запропонованого підходу з відомими методами.</w:t>
      </w:r>
    </w:p>
    <w:p>
      <w:r>
        <w:rPr>
          <w:sz w:val="20"/>
        </w:rPr>
        <w:t xml:space="preserve">&gt; Важливо: не стверджувати «ми перші у світі» до проведення систематичного огляду літератури та патентного пошуку. Ця таблиця є </w:t>
      </w:r>
      <w:r>
        <w:rPr>
          <w:b/>
          <w:sz w:val="20"/>
        </w:rPr>
        <w:t>попередньою</w:t>
      </w:r>
      <w:r>
        <w:rPr>
          <w:sz w:val="20"/>
        </w:rPr>
        <w:t xml:space="preserve"> і потребує верифікації через literature review у межах Д1.</w:t>
      </w:r>
    </w:p>
    <w:p/>
    <w:p>
      <w:pPr>
        <w:pStyle w:val="Heading2"/>
      </w:pPr>
      <w:r>
        <w:rPr>
          <w:color w:val="1A569A"/>
          <w:sz w:val="24"/>
        </w:rPr>
        <w:t>1. Огляд класів методів</w:t>
      </w:r>
    </w:p>
    <w:p>
      <w:pPr>
        <w:pStyle w:val="Heading3"/>
      </w:pPr>
      <w:r>
        <w:rPr>
          <w:color w:val="2E75B6"/>
          <w:sz w:val="22"/>
        </w:rPr>
        <w:t>Метод → Що вміє → Чого не вміє → Наш внесок</w:t>
      </w:r>
    </w:p>
    <w:p>
      <w:r>
        <w:rPr>
          <w:rFonts w:ascii="Courier New" w:hAnsi="Courier New"/>
          <w:sz w:val="20"/>
        </w:rPr>
        <w:t>| Метод                                                     | Що вміє                                          | Чого не вміє                                                                                    | Наш внесок                                                                          |</w:t>
      </w:r>
    </w:p>
    <w:p>
      <w:r>
        <w:rPr>
          <w:rFonts w:ascii="Courier New" w:hAnsi="Courier New"/>
          <w:sz w:val="20"/>
        </w:rPr>
        <w:t>| --------------------------------------------------------- | ------------------------------------------------ | ----------------------------------------------------------------------------------------------- | ----------------------------------------------------------------------------------- |</w:t>
      </w:r>
    </w:p>
    <w:p>
      <w:r>
        <w:rPr>
          <w:rFonts w:ascii="Courier New" w:hAnsi="Courier New"/>
          <w:sz w:val="20"/>
        </w:rPr>
        <w:t>| **Фіксовані порогові правила** (stress ≥ 4.0 → high risk) | Простий, прозорий, без навчальних даних          | Не персоналізований; не враховує динаміку; немає невизначеності; фіксовані пороги               | Персоналізований baseline (EWMA); динамічний вектор стану; формальна невизначеність |</w:t>
      </w:r>
    </w:p>
    <w:p>
      <w:r>
        <w:rPr>
          <w:rFonts w:ascii="Courier New" w:hAnsi="Courier New"/>
          <w:sz w:val="20"/>
        </w:rPr>
        <w:t>| **Популяційний z-score** ((s − μ) / σ ≥ 1.5)              | Враховує популяційний розподіл                   | Поділяє baseline для всіх; немає часового виміру; немає оцінки невизначеності                   | Індивідуальний EWMA-baseline; багатовимірний вектор замість одного показника        |</w:t>
      </w:r>
    </w:p>
    <w:p>
      <w:r>
        <w:rPr>
          <w:rFonts w:ascii="Courier New" w:hAnsi="Courier New"/>
          <w:sz w:val="20"/>
        </w:rPr>
        <w:t>| **Логістична регресія** (trained)                         | Статистично обґрунтована; хороший AUROC          | Лінійна; не враховує динаміку стану; point estimate; вимагає labeled data                       | Явна модель динаміки стану; мінімаксні межі без потреби великих labeled вибірок     |</w:t>
      </w:r>
    </w:p>
    <w:p>
      <w:r>
        <w:rPr>
          <w:rFonts w:ascii="Courier New" w:hAnsi="Courier New"/>
          <w:sz w:val="20"/>
        </w:rPr>
        <w:t>| **LSTM / RNN**                                            | Моделює довгострокові залежності                 | Black-box; нестабільний при drift; немає інтерпретованої невизначеності; потребує великих даних | Інтерпретованість; стабільність при drift; формальні межі невизначеності            |</w:t>
      </w:r>
    </w:p>
    <w:p>
      <w:r>
        <w:rPr>
          <w:rFonts w:ascii="Courier New" w:hAnsi="Courier New"/>
          <w:sz w:val="20"/>
        </w:rPr>
        <w:t>| **HMM (Hidden Markov Model)**                             | Моделює латентні стани; ймовірнісний             | Потребує великих вибірок; складна інтерпретація; не дає мінімаксних bound                       | Явне представлення state vector; feasible state space; менша вимога до даних        |</w:t>
      </w:r>
    </w:p>
    <w:p>
      <w:r>
        <w:rPr>
          <w:rFonts w:ascii="Courier New" w:hAnsi="Courier New"/>
          <w:sz w:val="20"/>
        </w:rPr>
        <w:t>| **Конформне прогнозування**                               | Дає статистично гарантовані prediction intervals | Не враховує структуру стану; не моделює динаміку; рідко застосовується у wellbeing              | Доменно-специфічний state vector + мінімаксні bound у wellbeing контексті           |</w:t>
      </w:r>
    </w:p>
    <w:p>
      <w:r>
        <w:rPr>
          <w:rFonts w:ascii="Courier New" w:hAnsi="Courier New"/>
          <w:sz w:val="20"/>
        </w:rPr>
        <w:t>| **Bayesian networks**                                     | Оцінка ймовірності з апріорним знанням           | Потребує expertly defined structure; складне калібрування; статичний snapshot                   | Навчається з даних (EWMA оптимізація); динамічне оновлення без ручного графа        |</w:t>
      </w:r>
    </w:p>
    <w:p>
      <w:r>
        <w:rPr>
          <w:rFonts w:ascii="Courier New" w:hAnsi="Courier New"/>
          <w:sz w:val="20"/>
        </w:rPr>
        <w:t>| **Wellbeing HR-платформи** (Gallup Q12, etc.)             | Просто збирають та відображають                  | Без предиктивних моделей; без динаміки; без невизначеності                                      | Prediktyvna модель + explainability + decision support                              |</w:t>
      </w:r>
    </w:p>
    <w:p/>
    <w:p>
      <w:pPr>
        <w:pStyle w:val="Heading2"/>
      </w:pPr>
      <w:r>
        <w:rPr>
          <w:color w:val="1A569A"/>
          <w:sz w:val="24"/>
        </w:rPr>
        <w:t>2. Детальна матриця можливостей</w:t>
      </w:r>
    </w:p>
    <w:p>
      <w:r>
        <w:rPr>
          <w:rFonts w:ascii="Courier New" w:hAnsi="Courier New"/>
          <w:sz w:val="20"/>
        </w:rPr>
        <w:t>| Властивість                           | Threshold rules | Population z-score | Logistic Reg. | LSTM | HMM | Запропонований метод |</w:t>
      </w:r>
    </w:p>
    <w:p>
      <w:r>
        <w:rPr>
          <w:rFonts w:ascii="Courier New" w:hAnsi="Courier New"/>
          <w:sz w:val="20"/>
        </w:rPr>
        <w:t>| ------------------------------------- | :-------------: | :----------------: | :-----------: | :--: | :-: | :------------------: |</w:t>
      </w:r>
    </w:p>
    <w:p>
      <w:r>
        <w:rPr>
          <w:rFonts w:ascii="Courier New" w:hAnsi="Courier New"/>
          <w:sz w:val="20"/>
        </w:rPr>
        <w:t>| Персоналізований baseline             |       ❌        |         ❌         |      ⚠️       |  ✅  | ✅  |          ✅          |</w:t>
      </w:r>
    </w:p>
    <w:p>
      <w:r>
        <w:rPr>
          <w:rFonts w:ascii="Courier New" w:hAnsi="Courier New"/>
          <w:sz w:val="20"/>
        </w:rPr>
        <w:t>| Часова динаміка стану                 |       ❌        |         ❌         |      ❌       |  ✅  | ✅  |          ✅          |</w:t>
      </w:r>
    </w:p>
    <w:p>
      <w:r>
        <w:rPr>
          <w:rFonts w:ascii="Courier New" w:hAnsi="Courier New"/>
          <w:sz w:val="20"/>
        </w:rPr>
        <w:t>| Формальні довірчі інтервали           |       ❌        |         ❌         |      ⚠️       |  ❌  | ⚠️  |          ✅          |</w:t>
      </w:r>
    </w:p>
    <w:p>
      <w:r>
        <w:rPr>
          <w:rFonts w:ascii="Courier New" w:hAnsi="Courier New"/>
          <w:sz w:val="20"/>
        </w:rPr>
        <w:t>| Мінімаксні bound (найгірший сценарій) |       ❌        |         ❌         |      ❌       |  ❌  | ❌  |          ✅          |</w:t>
      </w:r>
    </w:p>
    <w:p>
      <w:r>
        <w:rPr>
          <w:rFonts w:ascii="Courier New" w:hAnsi="Courier New"/>
          <w:sz w:val="20"/>
        </w:rPr>
        <w:t>| Оцінка системної стабільності         |       ❌        |         ❌         |      ❌       |  ❌  | ❌  |          ✅          |</w:t>
      </w:r>
    </w:p>
    <w:p>
      <w:r>
        <w:rPr>
          <w:rFonts w:ascii="Courier New" w:hAnsi="Courier New"/>
          <w:sz w:val="20"/>
        </w:rPr>
        <w:t>| Поширення ризику на команду           |       ⚠️        |         ❌         |      ❌       |  ❌  | ❌  |          ✅          |</w:t>
      </w:r>
    </w:p>
    <w:p>
      <w:r>
        <w:rPr>
          <w:rFonts w:ascii="Courier New" w:hAnsi="Courier New"/>
          <w:sz w:val="20"/>
        </w:rPr>
        <w:t>| Пояснюваність рішень                  |       ✅        |         ✅         |      ✅       |  ❌  | ⚠️  |          ✅          |</w:t>
      </w:r>
    </w:p>
    <w:p>
      <w:r>
        <w:rPr>
          <w:rFonts w:ascii="Courier New" w:hAnsi="Courier New"/>
          <w:sz w:val="20"/>
        </w:rPr>
        <w:t>| Стійкість при drift                   |       ❌        |         ❌         |      ❌       |  ❌  | ⚠️  |          ✅          |</w:t>
      </w:r>
    </w:p>
    <w:p>
      <w:r>
        <w:rPr>
          <w:rFonts w:ascii="Courier New" w:hAnsi="Courier New"/>
          <w:sz w:val="20"/>
        </w:rPr>
        <w:t>| Без великих labeled вибірок           |       ✅        |         ✅         |      ❌       |  ❌  | ❌  |          ✅          |</w:t>
      </w:r>
    </w:p>
    <w:p>
      <w:r>
        <w:rPr>
          <w:sz w:val="20"/>
        </w:rPr>
        <w:t>Легенда: ✅ повністю; ⚠️ частково / умовно; ❌ не підтримується</w:t>
      </w:r>
    </w:p>
    <w:p/>
    <w:p>
      <w:pPr>
        <w:pStyle w:val="Heading2"/>
      </w:pPr>
      <w:r>
        <w:rPr>
          <w:color w:val="1A569A"/>
          <w:sz w:val="24"/>
        </w:rPr>
        <w:t>3. Оцінка рівня інноваційності</w:t>
      </w:r>
    </w:p>
    <w:p>
      <w:pPr>
        <w:pStyle w:val="Heading3"/>
      </w:pPr>
      <w:r>
        <w:rPr>
          <w:color w:val="2E75B6"/>
          <w:sz w:val="22"/>
        </w:rPr>
        <w:t>3.1 Аргумент для «національного рівня»</w:t>
      </w:r>
    </w:p>
    <w:p>
      <w:r>
        <w:rPr>
          <w:sz w:val="20"/>
        </w:rPr>
        <w:t>Комбінація таких властивостей в одній системі для домену mental wellbeing:</w:t>
      </w:r>
    </w:p>
    <w:p>
      <w:r>
        <w:rPr>
          <w:sz w:val="20"/>
        </w:rPr>
        <w:t>1. Персоналізований EWMA-baseline з bootstrap довірчими інтервалами</w:t>
      </w:r>
    </w:p>
    <w:p>
      <w:r>
        <w:rPr>
          <w:sz w:val="20"/>
        </w:rPr>
        <w:t>2. Мінімаксне оцінювання в межах feasible state space</w:t>
      </w:r>
    </w:p>
    <w:p>
      <w:r>
        <w:rPr>
          <w:sz w:val="20"/>
        </w:rPr>
        <w:t>3. Явна оцінка системної стабільності</w:t>
      </w:r>
    </w:p>
    <w:p>
      <w:r>
        <w:rPr>
          <w:sz w:val="20"/>
        </w:rPr>
        <w:t>4. Формалізоване поширення ризику на командний рівень</w:t>
      </w:r>
    </w:p>
    <w:p>
      <w:r>
        <w:rPr>
          <w:sz w:val="20"/>
        </w:rPr>
        <w:t>…не задокументована в доступній літературі для корпоративного wellbeing домену _(потребує верифікації через systematic literature review у Д1)_.</w:t>
      </w:r>
    </w:p>
    <w:p>
      <w:pPr>
        <w:pStyle w:val="Heading3"/>
      </w:pPr>
      <w:r>
        <w:rPr>
          <w:color w:val="2E75B6"/>
          <w:sz w:val="22"/>
        </w:rPr>
        <w:t>3.2 Що потребує верифікації перед стверджуванням новизни</w:t>
      </w:r>
    </w:p>
    <w:p>
      <w:pPr>
        <w:pStyle w:val="ListBullet"/>
        <w:ind w:left="283"/>
      </w:pPr>
      <w:r>
        <w:rPr>
          <w:sz w:val="20"/>
        </w:rPr>
        <w:t>Систематичний огляд: IEEE, ACM, PubMed, arXiv за ключами:</w:t>
      </w:r>
    </w:p>
    <w:p>
      <w:r>
        <w:rPr>
          <w:sz w:val="20"/>
        </w:rPr>
        <w:t xml:space="preserve">  `"behavioral risk" + "state space"`, `"wellbeing prediction" + "uncertainty"`, `"mental health" + "minimax"`, `"EWMA" + "risk" + "personalized"`</w:t>
      </w:r>
    </w:p>
    <w:p>
      <w:pPr>
        <w:pStyle w:val="ListBullet"/>
        <w:ind w:left="283"/>
      </w:pPr>
      <w:r>
        <w:rPr>
          <w:sz w:val="20"/>
        </w:rPr>
        <w:t>Патентний пошук: USPTO, EPO, UPRP</w:t>
      </w:r>
    </w:p>
    <w:p>
      <w:pPr>
        <w:pStyle w:val="ListBullet"/>
        <w:ind w:left="283"/>
      </w:pPr>
      <w:r>
        <w:rPr>
          <w:sz w:val="20"/>
        </w:rPr>
        <w:t>Порівняння з комерційними продуктами: Spring Health, Lyra Health, Modern Health (технічні описи, whitepapers)</w:t>
      </w:r>
    </w:p>
    <w:p/>
    <w:p>
      <w:pPr>
        <w:pStyle w:val="Heading2"/>
      </w:pPr>
      <w:r>
        <w:rPr>
          <w:color w:val="1A569A"/>
          <w:sz w:val="24"/>
        </w:rPr>
        <w:t>4. Конкурентне позиціонування</w:t>
      </w:r>
    </w:p>
    <w:p>
      <w:r>
        <w:rPr>
          <w:rFonts w:ascii="Courier New" w:hAnsi="Courier New"/>
          <w:sz w:val="20"/>
        </w:rPr>
        <w:t>| Продукт / Метод                | Рівень             | Наша перевага                                      |</w:t>
      </w:r>
    </w:p>
    <w:p>
      <w:r>
        <w:rPr>
          <w:rFonts w:ascii="Courier New" w:hAnsi="Courier New"/>
          <w:sz w:val="20"/>
        </w:rPr>
        <w:t>| ------------------------------ | ------------------ | -------------------------------------------------- |</w:t>
      </w:r>
    </w:p>
    <w:p>
      <w:r>
        <w:rPr>
          <w:rFonts w:ascii="Courier New" w:hAnsi="Courier New"/>
          <w:sz w:val="20"/>
        </w:rPr>
        <w:t>| HR-платформи (Gallup, Workday) | Збір + звіти       | Prediktyvna модель + невизначеність                |</w:t>
      </w:r>
    </w:p>
    <w:p>
      <w:r>
        <w:rPr>
          <w:rFonts w:ascii="Courier New" w:hAnsi="Courier New"/>
          <w:sz w:val="20"/>
        </w:rPr>
        <w:t>| Spring Health / Modern Health  | Клінічний matching | Проактивний ризик + командний рівень               |</w:t>
      </w:r>
    </w:p>
    <w:p>
      <w:r>
        <w:rPr>
          <w:rFonts w:ascii="Courier New" w:hAnsi="Courier New"/>
          <w:sz w:val="20"/>
        </w:rPr>
        <w:t>| ML risk tools (загальні)       | Технічний          | Доменна специфіка + interpretability               |</w:t>
      </w:r>
    </w:p>
    <w:p>
      <w:r>
        <w:rPr>
          <w:rFonts w:ascii="Courier New" w:hAnsi="Courier New"/>
          <w:sz w:val="20"/>
        </w:rPr>
        <w:t>| Академічні методи (HMM, LR)    | Науковий           | Поєднання динаміки + невизначеності + стабільності |</w:t>
      </w:r>
    </w:p>
    <w:p/>
    <w:p>
      <w:pPr>
        <w:pStyle w:val="Heading2"/>
      </w:pPr>
      <w:r>
        <w:rPr>
          <w:color w:val="1A569A"/>
          <w:sz w:val="24"/>
        </w:rPr>
        <w:t>5. Висновок (попередній)</w:t>
      </w:r>
    </w:p>
    <w:p>
      <w:r>
        <w:rPr>
          <w:sz w:val="20"/>
        </w:rPr>
        <w:t xml:space="preserve">Запропонований метод комбінує компоненти, які окремо описані в літературі, але </w:t>
      </w:r>
      <w:r>
        <w:rPr>
          <w:b/>
          <w:sz w:val="20"/>
        </w:rPr>
        <w:t>у поєднанні для wellbeing домену з формальними гарантіями</w:t>
      </w:r>
      <w:r>
        <w:rPr>
          <w:sz w:val="20"/>
        </w:rPr>
        <w:t xml:space="preserve"> — ймовірно є новим підходом на національному рівні.</w:t>
      </w:r>
    </w:p>
    <w:p>
      <w:r>
        <w:rPr>
          <w:sz w:val="20"/>
        </w:rPr>
        <w:t>Остаточне підтвердження новизни — після systematic literature review у межах Д1 проєкту.</w:t>
      </w:r>
    </w:p>
    <w:p/>
    <w:p>
      <w:pPr>
        <w:pStyle w:val="Heading2"/>
      </w:pPr>
      <w:r>
        <w:rPr>
          <w:color w:val="1A569A"/>
          <w:sz w:val="24"/>
        </w:rPr>
        <w:t>Посилання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