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G. Бюджетна структура</w:t>
      </w:r>
    </w:p>
    <w:p>
      <w:pPr>
        <w:jc w:val="center"/>
      </w:pPr>
      <w:r>
        <w:rPr>
          <w:sz w:val="24"/>
        </w:rPr>
        <w:t>Budget Structure — R&amp;D Grant Package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G. Бюджетна структура</w:t>
      </w:r>
    </w:p>
    <w:p>
      <w:r>
        <w:rPr>
          <w:sz w:val="20"/>
        </w:rPr>
        <w:t>&gt; R&amp;D Grant Package</w:t>
      </w:r>
    </w:p>
    <w:p>
      <w:r>
        <w:rPr>
          <w:sz w:val="20"/>
        </w:rPr>
        <w:t>&gt; Version: 0.1 | 2026-08-08 | Draft</w:t>
      </w:r>
    </w:p>
    <w:p>
      <w:pPr>
        <w:pStyle w:val="Heading2"/>
      </w:pPr>
      <w:r>
        <w:rPr>
          <w:color w:val="1A569A"/>
          <w:sz w:val="24"/>
        </w:rPr>
        <w:t>Принцип</w:t>
      </w:r>
    </w:p>
    <w:p>
      <w:r>
        <w:rPr>
          <w:sz w:val="20"/>
        </w:rPr>
      </w:r>
      <w:r>
        <w:rPr>
          <w:b/>
          <w:sz w:val="20"/>
        </w:rPr>
        <w:t>Ядро заявки — B+R.</w:t>
      </w:r>
      <w:r>
        <w:rPr>
          <w:sz w:val="20"/>
        </w:rPr>
        <w:t xml:space="preserve"> Бюджет будується навколо дослідницької роботи, а не розвитку SaaS. Конкретні суми заповнюються за регламентом цільового конкурсу; нижче — структура і принципи допустимості.</w:t>
      </w:r>
    </w:p>
    <w:p/>
    <w:p>
      <w:pPr>
        <w:pStyle w:val="Heading2"/>
      </w:pPr>
      <w:r>
        <w:rPr>
          <w:color w:val="1A569A"/>
          <w:sz w:val="24"/>
        </w:rPr>
        <w:t>1. Категорії витрат та обґрунтування</w:t>
      </w:r>
    </w:p>
    <w:p>
      <w:r>
        <w:rPr>
          <w:rFonts w:ascii="Courier New" w:hAnsi="Courier New"/>
          <w:sz w:val="20"/>
        </w:rPr>
        <w:t>| Категорія                        | Що входить                                                                           | B+R-обґрунтування                                                              | Приблизна частка |</w:t>
      </w:r>
    </w:p>
    <w:p>
      <w:r>
        <w:rPr>
          <w:rFonts w:ascii="Courier New" w:hAnsi="Courier New"/>
          <w:sz w:val="20"/>
        </w:rPr>
        <w:t>| -------------------------------- | ------------------------------------------------------------------------------------ | ------------------------------------------------------------------------------ | ---------------- |</w:t>
      </w:r>
    </w:p>
    <w:p>
      <w:r>
        <w:rPr>
          <w:rFonts w:ascii="Courier New" w:hAnsi="Courier New"/>
          <w:sz w:val="20"/>
        </w:rPr>
        <w:t>| **Персонал — дослідники**        | ML Engineer (дослідницька роль), Data Scientist, Algorithm Developer                 | Безпосередньо реалізують Д1–Д10: формалізація, оптимізація, алгоритм, прототип | 35–45%           |</w:t>
      </w:r>
    </w:p>
    <w:p>
      <w:r>
        <w:rPr>
          <w:rFonts w:ascii="Courier New" w:hAnsi="Courier New"/>
          <w:sz w:val="20"/>
        </w:rPr>
        <w:t>| **Персонал — наукові партнери**  | КНУ: викладачі + аспіранти (через субконтракт або співпрацю)                         | Теоретична верифікація, статистична методологія, публікації                    | 15–20%           |</w:t>
      </w:r>
    </w:p>
    <w:p>
      <w:r>
        <w:rPr>
          <w:rFonts w:ascii="Courier New" w:hAnsi="Courier New"/>
          <w:sz w:val="20"/>
        </w:rPr>
        <w:t>| **Обчислювальна інфраструктура** | Cloud compute (GPU для навчання), storage для datasets і артефактів, CI/CD pipelines | Необхідна для Д6–Д10: навчання, backtesting, відтворюваність                   | 10–15%           |</w:t>
      </w:r>
    </w:p>
    <w:p>
      <w:r>
        <w:rPr>
          <w:rFonts w:ascii="Courier New" w:hAnsi="Courier New"/>
          <w:sz w:val="20"/>
        </w:rPr>
        <w:t>| **Дані та ліцензії**             | Синтетичні датасети (CTGAN), тестові середовища, ліцензії на спеціалізоване ПЗ       | Д10: валідація на даних; синтетика як альтернатива реальним                    | 5–10%            |</w:t>
      </w:r>
    </w:p>
    <w:p>
      <w:r>
        <w:rPr>
          <w:rFonts w:ascii="Courier New" w:hAnsi="Courier New"/>
          <w:sz w:val="20"/>
        </w:rPr>
        <w:t>| **Дисемінація та захист**        | Конференції (IEEE, ACM, NeurIPS), публікаційні збори, патентний пошук                | Очікувані наукові публікації (Д7–Д8)                                           | 5–8%             |</w:t>
      </w:r>
    </w:p>
    <w:p>
      <w:r>
        <w:rPr>
          <w:rFonts w:ascii="Courier New" w:hAnsi="Courier New"/>
          <w:sz w:val="20"/>
        </w:rPr>
        <w:t>| **Управління проєктом**          | PM, юридичний супровід (угода з КНУ, DMP, etyka)                                     | Координація B+R, compliance, звітність                                         | 5–8%             |</w:t>
      </w:r>
    </w:p>
    <w:p>
      <w:r>
        <w:rPr>
          <w:rFonts w:ascii="Courier New" w:hAnsi="Courier New"/>
          <w:sz w:val="20"/>
        </w:rPr>
        <w:t>| **Непрямі витрати**              | Overhead за ставкою установи                                                         | Відповідно до правил конкурсу                                                  | 15–25%           |</w:t>
      </w:r>
    </w:p>
    <w:p/>
    <w:p>
      <w:pPr>
        <w:pStyle w:val="Heading2"/>
      </w:pPr>
      <w:r>
        <w:rPr>
          <w:color w:val="1A569A"/>
          <w:sz w:val="24"/>
        </w:rPr>
        <w:t>2. Що НЕ включати (типові помилки)</w:t>
      </w:r>
    </w:p>
    <w:p>
      <w:r>
        <w:rPr>
          <w:rFonts w:ascii="Courier New" w:hAnsi="Courier New"/>
          <w:sz w:val="20"/>
        </w:rPr>
        <w:t>| Стаття                                      | Чому не включати                          |</w:t>
      </w:r>
    </w:p>
    <w:p>
      <w:r>
        <w:rPr>
          <w:rFonts w:ascii="Courier New" w:hAnsi="Courier New"/>
          <w:sz w:val="20"/>
        </w:rPr>
        <w:t>| ------------------------------------------- | ----------------------------------------- |</w:t>
      </w:r>
    </w:p>
    <w:p>
      <w:r>
        <w:rPr>
          <w:rFonts w:ascii="Courier New" w:hAnsi="Courier New"/>
          <w:sz w:val="20"/>
        </w:rPr>
        <w:t>| Маркетинг і продажі                         | Не пов'язано з B+R; окрема лінія (якщо є) |</w:t>
      </w:r>
    </w:p>
    <w:p>
      <w:r>
        <w:rPr>
          <w:rFonts w:ascii="Courier New" w:hAnsi="Courier New"/>
          <w:sz w:val="20"/>
        </w:rPr>
        <w:t>| Розробка production SaaS features           | B+R — це дослідження, не продукт          |</w:t>
      </w:r>
    </w:p>
    <w:p>
      <w:r>
        <w:rPr>
          <w:rFonts w:ascii="Courier New" w:hAnsi="Courier New"/>
          <w:sz w:val="20"/>
        </w:rPr>
        <w:t>| Загальноадміністративні витрати понад ліміт | Обмежені правилами конкурсу               |</w:t>
      </w:r>
    </w:p>
    <w:p>
      <w:r>
        <w:rPr>
          <w:rFonts w:ascii="Courier New" w:hAnsi="Courier New"/>
          <w:sz w:val="20"/>
        </w:rPr>
        <w:t>| Витрати до початку проєкту                  | Недопустимі за будь-яким регламентом      |</w:t>
      </w:r>
    </w:p>
    <w:p/>
    <w:p>
      <w:pPr>
        <w:pStyle w:val="Heading2"/>
      </w:pPr>
      <w:r>
        <w:rPr>
          <w:color w:val="1A569A"/>
          <w:sz w:val="24"/>
        </w:rPr>
        <w:t>3. Підхід до розрахунку для Ścieżka SMART (2026 reference)</w:t>
      </w:r>
    </w:p>
    <w:p>
      <w:pPr>
        <w:pStyle w:val="ListBullet"/>
        <w:ind w:left="283"/>
      </w:pPr>
      <w:r>
        <w:rPr>
          <w:sz w:val="20"/>
        </w:rPr>
        <w:t>**Maks. dotation**: до 80% допустимих витрат (для МСП без підрядника)</w:t>
      </w:r>
    </w:p>
    <w:p>
      <w:pPr>
        <w:pStyle w:val="ListBullet"/>
        <w:ind w:left="283"/>
      </w:pPr>
      <w:r>
        <w:rPr>
          <w:sz w:val="20"/>
        </w:rPr>
        <w:t>**Maks. wartość projektu**: без обмеження (але B+R має бути обґрунтованою)</w:t>
      </w:r>
    </w:p>
    <w:p>
      <w:pPr>
        <w:pStyle w:val="ListBullet"/>
        <w:ind w:left="283"/>
      </w:pPr>
      <w:r>
        <w:rPr>
          <w:sz w:val="20"/>
        </w:rPr>
        <w:t>**Subkontrakt z KNU**: допустимий як субпідряд; потребує обґрунтування необхідності й конкурентного вибору</w:t>
      </w:r>
    </w:p>
    <w:p>
      <w:pPr>
        <w:pStyle w:val="ListBullet"/>
        <w:ind w:left="283"/>
      </w:pPr>
      <w:r>
        <w:rPr>
          <w:sz w:val="20"/>
        </w:rPr>
        <w:t>**Zasada kwalifikowalności**: кожна стаття має бути прив'язана до завдань B+R у формі заявки</w:t>
      </w:r>
    </w:p>
    <w:p>
      <w:r>
        <w:rPr>
          <w:sz w:val="20"/>
        </w:rPr>
        <w:t>&gt; Актуальна документація PARP: https://www.parp.gov.pl/harmonogram-naborow/grants/sciezka-smart</w:t>
      </w:r>
    </w:p>
    <w:p>
      <w:r>
        <w:rPr>
          <w:sz w:val="20"/>
        </w:rPr>
        <w:t>&gt; При адаптації для EIC Pathfinder: перевірити Grant Agreement guidelines</w:t>
      </w:r>
    </w:p>
    <w:p/>
    <w:p>
      <w:pPr>
        <w:pStyle w:val="Heading2"/>
      </w:pPr>
      <w:r>
        <w:rPr>
          <w:color w:val="1A569A"/>
          <w:sz w:val="24"/>
        </w:rPr>
        <w:t>4. Зв'язок бюджету з B+R-завданнями</w:t>
      </w:r>
    </w:p>
    <w:p>
      <w:r>
        <w:rPr>
          <w:rFonts w:ascii="Courier New" w:hAnsi="Courier New"/>
          <w:sz w:val="20"/>
        </w:rPr>
        <w:t>| Завдання           | Основні статті витрат                           |</w:t>
      </w:r>
    </w:p>
    <w:p>
      <w:r>
        <w:rPr>
          <w:rFonts w:ascii="Courier New" w:hAnsi="Courier New"/>
          <w:sz w:val="20"/>
        </w:rPr>
        <w:t>| ------------------ | ----------------------------------------------- |</w:t>
      </w:r>
    </w:p>
    <w:p>
      <w:r>
        <w:rPr>
          <w:rFonts w:ascii="Courier New" w:hAnsi="Courier New"/>
          <w:sz w:val="20"/>
        </w:rPr>
        <w:t>| Д1 Формалізація    | Персонал (KNU + ML Engineer), literature access |</w:t>
      </w:r>
    </w:p>
    <w:p>
      <w:r>
        <w:rPr>
          <w:rFonts w:ascii="Courier New" w:hAnsi="Courier New"/>
          <w:sz w:val="20"/>
        </w:rPr>
        <w:t>| Д2–Д3 Моделі       | Персонал (ML Engineer + KNU)                    |</w:t>
      </w:r>
    </w:p>
    <w:p>
      <w:r>
        <w:rPr>
          <w:rFonts w:ascii="Courier New" w:hAnsi="Courier New"/>
          <w:sz w:val="20"/>
        </w:rPr>
        <w:t>| Д4–Д5 Оптимізація  | Персонал + compute (GPU)                        |</w:t>
      </w:r>
    </w:p>
    <w:p>
      <w:r>
        <w:rPr>
          <w:rFonts w:ascii="Courier New" w:hAnsi="Courier New"/>
          <w:sz w:val="20"/>
        </w:rPr>
        <w:t>| Д6 Алгоритм        | Персонал (Algorithm Developer)                  |</w:t>
      </w:r>
    </w:p>
    <w:p>
      <w:r>
        <w:rPr>
          <w:rFonts w:ascii="Courier New" w:hAnsi="Courier New"/>
          <w:sz w:val="20"/>
        </w:rPr>
        <w:t>| Д7–Д8 Експерименти | Compute + персонал + datasets                   |</w:t>
      </w:r>
    </w:p>
    <w:p>
      <w:r>
        <w:rPr>
          <w:rFonts w:ascii="Courier New" w:hAnsi="Courier New"/>
          <w:sz w:val="20"/>
        </w:rPr>
        <w:t>| Д9 Прототип        | Персонал + інфраструктура                       |</w:t>
      </w:r>
    </w:p>
    <w:p>
      <w:r>
        <w:rPr>
          <w:rFonts w:ascii="Courier New" w:hAnsi="Courier New"/>
          <w:sz w:val="20"/>
        </w:rPr>
        <w:t>| Д10 Валідація      | Compute + datasets + персонал                   |</w:t>
      </w:r>
    </w:p>
    <w:p>
      <w:r>
        <w:rPr>
          <w:rFonts w:ascii="Courier New" w:hAnsi="Courier New"/>
          <w:sz w:val="20"/>
        </w:rPr>
        <w:t>| Дисемінація        | Конференції + публікаційні збори                |</w:t>
      </w:r>
    </w:p>
    <w:p/>
    <w:p>
      <w:pPr>
        <w:pStyle w:val="Heading2"/>
      </w:pPr>
      <w:r>
        <w:rPr>
          <w:color w:val="1A569A"/>
          <w:sz w:val="24"/>
        </w:rPr>
        <w:t>Посилання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p>
      <w:pPr>
        <w:pStyle w:val="ListBullet"/>
        <w:ind w:left="283"/>
      </w:pPr>
      <w:r>
        <w:rPr>
          <w:sz w:val="20"/>
        </w:rPr>
        <w:t>EIC Pathfinder Budget Guidelines: https://eic.ec.europa.eu/eic-funding-opportunities/eic-pathfinder_en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