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Traceability Matrix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Traceability Matrix</w:t>
      </w:r>
    </w:p>
    <w:p>
      <w:r>
        <w:rPr>
          <w:sz w:val="20"/>
        </w:rPr>
        <w:t>Мова: Українська (default) | [English](01-traceability-matrix.en.md)</w:t>
      </w:r>
    </w:p>
    <w:p>
      <w:pPr>
        <w:pStyle w:val="Heading2"/>
      </w:pPr>
      <w:r>
        <w:rPr>
          <w:color w:val="1A569A"/>
          <w:sz w:val="24"/>
        </w:rPr>
        <w:t>Мета</w:t>
      </w:r>
    </w:p>
    <w:p>
      <w:r>
        <w:rPr>
          <w:sz w:val="20"/>
        </w:rPr>
        <w:t>Забезпечити наскрізний ланцюг доказів:</w:t>
      </w:r>
    </w:p>
    <w:p>
      <w:r>
        <w:rPr>
          <w:sz w:val="20"/>
        </w:rPr>
        <w:t>Research Question -&gt; Hypothesis -&gt; Dataset -&gt; Features -&gt; Experiment -&gt; Metrics -&gt; Result -&gt; Scientific Claim.</w:t>
      </w:r>
    </w:p>
    <w:p>
      <w:pPr>
        <w:pStyle w:val="Heading2"/>
      </w:pPr>
      <w:r>
        <w:rPr>
          <w:color w:val="1A569A"/>
          <w:sz w:val="24"/>
        </w:rPr>
        <w:t>Матриця</w:t>
      </w:r>
    </w:p>
    <w:p>
      <w:r>
        <w:rPr>
          <w:rFonts w:ascii="Courier New" w:hAnsi="Courier New"/>
          <w:sz w:val="20"/>
        </w:rPr>
        <w:t>| RQ                         | Hypothesis                                 | Dataset Source                         | Feature Set                          | Experiment ID | Metrics                                | Result Artifact                            | Scientific Claim                                       | Grant Section                 |</w:t>
      </w:r>
    </w:p>
    <w:p>
      <w:r>
        <w:rPr>
          <w:rFonts w:ascii="Courier New" w:hAnsi="Courier New"/>
          <w:sz w:val="20"/>
        </w:rPr>
        <w:t>| -------------------------- | ------------------------------------------ | -------------------------------------- | ------------------------------------ | ------------- | -------------------------------------- | ------------------------------------------ | ------------------------------------------------------ | ----------------------------- |</w:t>
      </w:r>
    </w:p>
    <w:p>
      <w:r>
        <w:rPr>
          <w:rFonts w:ascii="Courier New" w:hAnsi="Courier New"/>
          <w:sz w:val="20"/>
        </w:rPr>
        <w:t>| RQ1 Personalization Effect | H1 Adaptive baseline &gt; population baseline | docs/grant/08-dataset-specification.md | docs/grant/09-feature-engineering.md | EXP-AB-001    | Calibration error, Precision@high-risk | docs/grant/25-evaluation.md                | C1 Персоналізація підвищує якість у high-risk сегменті | proposal/01-excellence.md     |</w:t>
      </w:r>
    </w:p>
    <w:p>
      <w:r>
        <w:rPr>
          <w:rFonts w:ascii="Courier New" w:hAnsi="Courier New"/>
          <w:sz w:val="20"/>
        </w:rPr>
        <w:t>| RQ2 Hybrid vs Single       | H2 Hybrid Rule+ML &gt; Rules-only / ML-only   | docs/grant/08-dataset-specification.md | docs/grant/17-feature-store.md       | EXP-HYB-002   | AUROC, False alert rate                | docs/grant/26-metrics.md                   | C2 Hybrid покращує баланс accuracy/safety              | proposal/01-excellence.md     |</w:t>
      </w:r>
    </w:p>
    <w:p>
      <w:r>
        <w:rPr>
          <w:rFonts w:ascii="Courier New" w:hAnsi="Courier New"/>
          <w:sz w:val="20"/>
        </w:rPr>
        <w:t>| RQ3 Explainability Impact  | H3 Explainability збільшує trust/adoption  | docs/grant/28-user-validation.md       | docs/grant/20-explainability.md      | EXP-XAI-003   | Trust uplift, Comprehension            | docs/grant/29-explainability-validation.md | C3 Пояснення покращують прийняття рішень               | proposal/02-impact.md         |</w:t>
      </w:r>
    </w:p>
    <w:p>
      <w:r>
        <w:rPr>
          <w:rFonts w:ascii="Courier New" w:hAnsi="Courier New"/>
          <w:sz w:val="20"/>
        </w:rPr>
        <w:t>| RQ4 Governance Robustness  | H4 Trust-gated policy знижує деградацію    | docs/grant/24-experiment-tracking.md   | docs/grant/16-decision-engine.md     | EXP-GOV-004   | Degradation duration, Rollback rate    | docs/grant/25-evaluation.md                | C4 Governance loops підвищують стабільність            | proposal/03-implementation.md |</w:t>
      </w:r>
    </w:p>
    <w:p>
      <w:r>
        <w:rPr>
          <w:rFonts w:ascii="Courier New" w:hAnsi="Courier New"/>
          <w:sz w:val="20"/>
        </w:rPr>
        <w:t>| RQ5 Transferability        | H5 DIP reuse скорочує integration effort   | docs/grant/33-integration.md           | docs/grant/15-dip-architecture.md    | EXP-TRF-005   | Time-to-first-value, Reuse ratio       | docs/grant/38-impact.md                    | C5 Платформний підхід переносимий                      | proposal/02-impact.md         |</w:t>
      </w:r>
    </w:p>
    <w:p>
      <w:pPr>
        <w:pStyle w:val="Heading2"/>
      </w:pPr>
      <w:r>
        <w:rPr>
          <w:color w:val="1A569A"/>
          <w:sz w:val="24"/>
        </w:rPr>
        <w:t>Правило використання</w:t>
      </w:r>
    </w:p>
    <w:p>
      <w:pPr>
        <w:pStyle w:val="ListBullet"/>
        <w:ind w:left="283"/>
      </w:pPr>
      <w:r>
        <w:rPr>
          <w:sz w:val="20"/>
        </w:rPr>
        <w:t>Жодне твердження в `docs/proposal/*` не публікується без посилання на рядок цієї матриці.</w:t>
      </w:r>
    </w:p>
    <w:p>
      <w:pPr>
        <w:pStyle w:val="ListBullet"/>
        <w:ind w:left="283"/>
      </w:pPr>
      <w:r>
        <w:rPr>
          <w:sz w:val="20"/>
        </w:rPr>
        <w:t>Кожен рядок матриці повинен мати owner та дату останньої валідації.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