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Scientific Hypotheses</w:t>
      </w:r>
    </w:p>
    <w:p>
      <w:pPr>
        <w:jc w:val="center"/>
      </w:pPr>
      <w:r>
        <w:rPr>
          <w:sz w:val="24"/>
        </w:rPr>
        <w:t>Research Layer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Scientific Hypotheses</w:t>
      </w:r>
    </w:p>
    <w:p>
      <w:r>
        <w:rPr>
          <w:sz w:val="20"/>
        </w:rPr>
        <w:t>Мова: Українська (default) | [English](02-scientific-hypotheses.en.md)</w:t>
      </w:r>
    </w:p>
    <w:p>
      <w:pPr>
        <w:pStyle w:val="Heading2"/>
      </w:pPr>
      <w:r>
        <w:rPr>
          <w:color w:val="1A569A"/>
          <w:sz w:val="24"/>
        </w:rPr>
        <w:t>Мета</w:t>
      </w:r>
    </w:p>
    <w:p>
      <w:r>
        <w:rPr>
          <w:sz w:val="20"/>
        </w:rPr>
        <w:t>Зафіксувати експериментально перевірювані гіпотези для Dzvin.co + DIP.</w:t>
      </w:r>
    </w:p>
    <w:p>
      <w:pPr>
        <w:pStyle w:val="Heading2"/>
      </w:pPr>
      <w:r>
        <w:rPr>
          <w:color w:val="1A569A"/>
          <w:sz w:val="24"/>
        </w:rPr>
        <w:t>H1 Hybrid Decision Superiority</w:t>
      </w:r>
    </w:p>
    <w:p>
      <w:pPr>
        <w:pStyle w:val="ListBullet"/>
        <w:ind w:left="283"/>
      </w:pPr>
      <w:r>
        <w:rPr>
          <w:sz w:val="20"/>
        </w:rPr>
        <w:t>Statement: Hybrid Rule+ML policy перевищує pure ML та rules-only за композитним критерієм quality/safety.</w:t>
      </w:r>
    </w:p>
    <w:p>
      <w:pPr>
        <w:pStyle w:val="ListBullet"/>
        <w:ind w:left="283"/>
      </w:pPr>
      <w:r>
        <w:rPr>
          <w:sz w:val="20"/>
        </w:rPr>
        <w:t>Primary metrics: AUROC, False alert rate, Disagreement resolution quality.</w:t>
      </w:r>
    </w:p>
    <w:p>
      <w:pPr>
        <w:pStyle w:val="ListBullet"/>
        <w:ind w:left="283"/>
      </w:pPr>
      <w:r>
        <w:rPr>
          <w:sz w:val="20"/>
        </w:rPr>
        <w:t>Null hypothesis: різниці між підходами немає.</w:t>
      </w:r>
    </w:p>
    <w:p>
      <w:pPr>
        <w:pStyle w:val="Heading2"/>
      </w:pPr>
      <w:r>
        <w:rPr>
          <w:color w:val="1A569A"/>
          <w:sz w:val="24"/>
        </w:rPr>
        <w:t>H2 Personal Baseline Advantage</w:t>
      </w:r>
    </w:p>
    <w:p>
      <w:pPr>
        <w:pStyle w:val="ListBullet"/>
        <w:ind w:left="283"/>
      </w:pPr>
      <w:r>
        <w:rPr>
          <w:sz w:val="20"/>
        </w:rPr>
        <w:t>Statement: Personal adaptive baseline дає кращу калібрацію, ніж population baseline.</w:t>
      </w:r>
    </w:p>
    <w:p>
      <w:pPr>
        <w:pStyle w:val="ListBullet"/>
        <w:ind w:left="283"/>
      </w:pPr>
      <w:r>
        <w:rPr>
          <w:sz w:val="20"/>
        </w:rPr>
        <w:t>Primary metrics: Calibration error, Brier score, segment stability.</w:t>
      </w:r>
    </w:p>
    <w:p>
      <w:pPr>
        <w:pStyle w:val="ListBullet"/>
        <w:ind w:left="283"/>
      </w:pPr>
      <w:r>
        <w:rPr>
          <w:sz w:val="20"/>
        </w:rPr>
        <w:t>Null hypothesis: персональний baseline не покращує калібрацію.</w:t>
      </w:r>
    </w:p>
    <w:p>
      <w:pPr>
        <w:pStyle w:val="Heading2"/>
      </w:pPr>
      <w:r>
        <w:rPr>
          <w:color w:val="1A569A"/>
          <w:sz w:val="24"/>
        </w:rPr>
        <w:t>H3 Explainability Trust Uplift</w:t>
      </w:r>
    </w:p>
    <w:p>
      <w:pPr>
        <w:pStyle w:val="ListBullet"/>
        <w:ind w:left="283"/>
      </w:pPr>
      <w:r>
        <w:rPr>
          <w:sz w:val="20"/>
        </w:rPr>
        <w:t>Statement: Role-aware explainability підвищує trust та action adoption.</w:t>
      </w:r>
    </w:p>
    <w:p>
      <w:pPr>
        <w:pStyle w:val="ListBullet"/>
        <w:ind w:left="283"/>
      </w:pPr>
      <w:r>
        <w:rPr>
          <w:sz w:val="20"/>
        </w:rPr>
        <w:t>Primary metrics: Trust uplift, comprehension, adoption rate.</w:t>
      </w:r>
    </w:p>
    <w:p>
      <w:pPr>
        <w:pStyle w:val="ListBullet"/>
        <w:ind w:left="283"/>
      </w:pPr>
      <w:r>
        <w:rPr>
          <w:sz w:val="20"/>
        </w:rPr>
        <w:t>Null hypothesis: пояснення не змінює поведінку користувача.</w:t>
      </w:r>
    </w:p>
    <w:p>
      <w:pPr>
        <w:pStyle w:val="Heading2"/>
      </w:pPr>
      <w:r>
        <w:rPr>
          <w:color w:val="1A569A"/>
          <w:sz w:val="24"/>
        </w:rPr>
        <w:t>H4 Adaptive Feature Stability</w:t>
      </w:r>
    </w:p>
    <w:p>
      <w:pPr>
        <w:pStyle w:val="ListBullet"/>
        <w:ind w:left="283"/>
      </w:pPr>
      <w:r>
        <w:rPr>
          <w:sz w:val="20"/>
        </w:rPr>
        <w:t>Statement: Adaptive feature set підвищує стабільність прогнозу під drift.</w:t>
      </w:r>
    </w:p>
    <w:p>
      <w:pPr>
        <w:pStyle w:val="ListBullet"/>
        <w:ind w:left="283"/>
      </w:pPr>
      <w:r>
        <w:rPr>
          <w:sz w:val="20"/>
        </w:rPr>
        <w:t>Primary metrics: Drift resilience index, performance variance.</w:t>
      </w:r>
    </w:p>
    <w:p>
      <w:pPr>
        <w:pStyle w:val="ListBullet"/>
        <w:ind w:left="283"/>
      </w:pPr>
      <w:r>
        <w:rPr>
          <w:sz w:val="20"/>
        </w:rPr>
        <w:t>Null hypothesis: adaptive features не впливають на стабільність.</w:t>
      </w:r>
    </w:p>
    <w:p>
      <w:pPr>
        <w:pStyle w:val="Heading2"/>
      </w:pPr>
      <w:r>
        <w:rPr>
          <w:color w:val="1A569A"/>
          <w:sz w:val="24"/>
        </w:rPr>
        <w:t>H5 Governance Loop Safety</w:t>
      </w:r>
    </w:p>
    <w:p>
      <w:pPr>
        <w:pStyle w:val="ListBullet"/>
        <w:ind w:left="283"/>
      </w:pPr>
      <w:r>
        <w:rPr>
          <w:sz w:val="20"/>
        </w:rPr>
        <w:t>Statement: Online policy governance з auto-mitigation зменшує тривалість degraded періодів.</w:t>
      </w:r>
    </w:p>
    <w:p>
      <w:pPr>
        <w:pStyle w:val="ListBullet"/>
        <w:ind w:left="283"/>
      </w:pPr>
      <w:r>
        <w:rPr>
          <w:sz w:val="20"/>
        </w:rPr>
        <w:t>Primary metrics: degraded cycle duration, rollback frequency, safe-mode outcome quality.</w:t>
      </w:r>
    </w:p>
    <w:p>
      <w:pPr>
        <w:pStyle w:val="ListBullet"/>
        <w:ind w:left="283"/>
      </w:pPr>
      <w:r>
        <w:rPr>
          <w:sz w:val="20"/>
        </w:rPr>
        <w:t>Null hypothesis: governance loops не зменшують операційний ризик.</w:t>
      </w:r>
    </w:p>
    <w:p>
      <w:pPr>
        <w:pStyle w:val="Heading2"/>
      </w:pPr>
      <w:r>
        <w:rPr>
          <w:color w:val="1A569A"/>
          <w:sz w:val="24"/>
        </w:rPr>
        <w:t>Рішення про прийняття</w:t>
      </w:r>
    </w:p>
    <w:p>
      <w:pPr>
        <w:pStyle w:val="ListBullet"/>
        <w:ind w:left="283"/>
      </w:pPr>
      <w:r>
        <w:rPr>
          <w:sz w:val="20"/>
        </w:rPr>
        <w:t>Гіпотеза приймається лише за preregistered thresholds із CI та effect size.</w:t>
      </w:r>
    </w:p>
    <w:p>
      <w:pPr>
        <w:pStyle w:val="ListBullet"/>
        <w:ind w:left="283"/>
      </w:pPr>
      <w:r>
        <w:rPr>
          <w:sz w:val="20"/>
        </w:rPr>
        <w:t>Непереконливі дані маркуються `inconclusive`.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