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WP Success Criteria</w:t>
      </w:r>
    </w:p>
    <w:p>
      <w:pPr>
        <w:jc w:val="center"/>
      </w:pPr>
      <w:r>
        <w:rPr>
          <w:sz w:val="24"/>
        </w:rPr>
        <w:t>Research Layer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Work Package Success Criteria</w:t>
      </w:r>
    </w:p>
    <w:p>
      <w:r>
        <w:rPr>
          <w:sz w:val="20"/>
        </w:rPr>
        <w:t>Мова: Українська (default) | [English](03-wp-success-criteria.en.md)</w:t>
      </w:r>
    </w:p>
    <w:p>
      <w:pPr>
        <w:pStyle w:val="Heading2"/>
      </w:pPr>
      <w:r>
        <w:rPr>
          <w:color w:val="1A569A"/>
          <w:sz w:val="24"/>
        </w:rPr>
        <w:t>Мета</w:t>
      </w:r>
    </w:p>
    <w:p>
      <w:r>
        <w:rPr>
          <w:sz w:val="20"/>
        </w:rPr>
        <w:t>Задати вимірювані KPI та acceptance criteria для кожного WP.</w:t>
      </w:r>
    </w:p>
    <w:p>
      <w:pPr>
        <w:pStyle w:val="Heading2"/>
      </w:pPr>
      <w:r>
        <w:rPr>
          <w:color w:val="1A569A"/>
          <w:sz w:val="24"/>
        </w:rPr>
        <w:t>WP1 Management and Governance</w:t>
      </w:r>
    </w:p>
    <w:p>
      <w:pPr>
        <w:pStyle w:val="ListBullet"/>
        <w:ind w:left="283"/>
      </w:pPr>
      <w:r>
        <w:rPr>
          <w:sz w:val="20"/>
        </w:rPr>
        <w:t>KPI: on-time milestone completion &gt;= 90%.</w:t>
      </w:r>
    </w:p>
    <w:p>
      <w:pPr>
        <w:pStyle w:val="ListBullet"/>
        <w:ind w:left="283"/>
      </w:pPr>
      <w:r>
        <w:rPr>
          <w:sz w:val="20"/>
        </w:rPr>
        <w:t>KPI: critical risk review SLA &lt;= 10 робочих днів.</w:t>
      </w:r>
    </w:p>
    <w:p>
      <w:pPr>
        <w:pStyle w:val="ListBullet"/>
        <w:ind w:left="283"/>
      </w:pPr>
      <w:r>
        <w:rPr>
          <w:sz w:val="20"/>
        </w:rPr>
        <w:t>Acceptance: щомісячний governance report + оновлений risk register.</w:t>
      </w:r>
    </w:p>
    <w:p>
      <w:pPr>
        <w:pStyle w:val="Heading2"/>
      </w:pPr>
      <w:r>
        <w:rPr>
          <w:color w:val="1A569A"/>
          <w:sz w:val="24"/>
        </w:rPr>
        <w:t>WP2 Data Foundation and Compliance</w:t>
      </w:r>
    </w:p>
    <w:p>
      <w:pPr>
        <w:pStyle w:val="ListBullet"/>
        <w:ind w:left="283"/>
      </w:pPr>
      <w:r>
        <w:rPr>
          <w:sz w:val="20"/>
        </w:rPr>
        <w:t>KPI: feature/data coverage &gt; 95% для core decision flows.</w:t>
      </w:r>
    </w:p>
    <w:p>
      <w:pPr>
        <w:pStyle w:val="ListBullet"/>
        <w:ind w:left="283"/>
      </w:pPr>
      <w:r>
        <w:rPr>
          <w:sz w:val="20"/>
        </w:rPr>
        <w:t>KPI: critical data quality incidents = 0 без mitigation.</w:t>
      </w:r>
    </w:p>
    <w:p>
      <w:pPr>
        <w:pStyle w:val="ListBullet"/>
        <w:ind w:left="283"/>
      </w:pPr>
      <w:r>
        <w:rPr>
          <w:sz w:val="20"/>
        </w:rPr>
        <w:t>KPI: online decision feature retrieval latency p95 &lt; 150 ms.</w:t>
      </w:r>
    </w:p>
    <w:p>
      <w:pPr>
        <w:pStyle w:val="ListBullet"/>
        <w:ind w:left="283"/>
      </w:pPr>
      <w:r>
        <w:rPr>
          <w:sz w:val="20"/>
        </w:rPr>
        <w:t>Acceptance: data + compliance gates green.</w:t>
      </w:r>
    </w:p>
    <w:p>
      <w:pPr>
        <w:pStyle w:val="Heading2"/>
      </w:pPr>
      <w:r>
        <w:rPr>
          <w:color w:val="1A569A"/>
          <w:sz w:val="24"/>
        </w:rPr>
        <w:t>WP3 Decision Intelligence Core</w:t>
      </w:r>
    </w:p>
    <w:p>
      <w:pPr>
        <w:pStyle w:val="ListBullet"/>
        <w:ind w:left="283"/>
      </w:pPr>
      <w:r>
        <w:rPr>
          <w:sz w:val="20"/>
        </w:rPr>
        <w:t>KPI: hybrid policy performance &gt; baseline на predefined margin.</w:t>
      </w:r>
    </w:p>
    <w:p>
      <w:pPr>
        <w:pStyle w:val="ListBullet"/>
        <w:ind w:left="283"/>
      </w:pPr>
      <w:r>
        <w:rPr>
          <w:sz w:val="20"/>
        </w:rPr>
        <w:t>KPI: decision API availability &gt;= 99.5% (pilot phase target).</w:t>
      </w:r>
    </w:p>
    <w:p>
      <w:pPr>
        <w:pStyle w:val="ListBullet"/>
        <w:ind w:left="283"/>
      </w:pPr>
      <w:r>
        <w:rPr>
          <w:sz w:val="20"/>
        </w:rPr>
        <w:t>KPI: mandatory decision trace completeness = 100%.</w:t>
      </w:r>
    </w:p>
    <w:p>
      <w:pPr>
        <w:pStyle w:val="ListBullet"/>
        <w:ind w:left="283"/>
      </w:pPr>
      <w:r>
        <w:rPr>
          <w:sz w:val="20"/>
        </w:rPr>
        <w:t>Acceptance: v1 decision contract стабільний і задокументований.</w:t>
      </w:r>
    </w:p>
    <w:p>
      <w:pPr>
        <w:pStyle w:val="Heading2"/>
      </w:pPr>
      <w:r>
        <w:rPr>
          <w:color w:val="1A569A"/>
          <w:sz w:val="24"/>
        </w:rPr>
        <w:t>WP4 Explainability and Validation</w:t>
      </w:r>
    </w:p>
    <w:p>
      <w:pPr>
        <w:pStyle w:val="ListBullet"/>
        <w:ind w:left="283"/>
      </w:pPr>
      <w:r>
        <w:rPr>
          <w:sz w:val="20"/>
        </w:rPr>
        <w:t>KPI: trust uplift &gt;= +10% vs no-explanation cohort.</w:t>
      </w:r>
    </w:p>
    <w:p>
      <w:pPr>
        <w:pStyle w:val="ListBullet"/>
        <w:ind w:left="283"/>
      </w:pPr>
      <w:r>
        <w:rPr>
          <w:sz w:val="20"/>
        </w:rPr>
        <w:t>KPI: explanation comprehension &gt;= 80% correct interpretation.</w:t>
      </w:r>
    </w:p>
    <w:p>
      <w:pPr>
        <w:pStyle w:val="ListBullet"/>
        <w:ind w:left="283"/>
      </w:pPr>
      <w:r>
        <w:rPr>
          <w:sz w:val="20"/>
        </w:rPr>
        <w:t>KPI: severe explainability safety incidents = 0.</w:t>
      </w:r>
    </w:p>
    <w:p>
      <w:pPr>
        <w:pStyle w:val="ListBullet"/>
        <w:ind w:left="283"/>
      </w:pPr>
      <w:r>
        <w:rPr>
          <w:sz w:val="20"/>
        </w:rPr>
        <w:t>Acceptance: reviewer-ready validation dossier.</w:t>
      </w:r>
    </w:p>
    <w:p>
      <w:pPr>
        <w:pStyle w:val="Heading2"/>
      </w:pPr>
      <w:r>
        <w:rPr>
          <w:color w:val="1A569A"/>
          <w:sz w:val="24"/>
        </w:rPr>
        <w:t>WP5 Dzvin.co Pilots</w:t>
      </w:r>
    </w:p>
    <w:p>
      <w:pPr>
        <w:pStyle w:val="ListBullet"/>
        <w:ind w:left="283"/>
      </w:pPr>
      <w:r>
        <w:rPr>
          <w:sz w:val="20"/>
        </w:rPr>
        <w:t>KPI: pilot-to-operational conversion &gt;= 60% (target for validated pilots).</w:t>
      </w:r>
    </w:p>
    <w:p>
      <w:pPr>
        <w:pStyle w:val="ListBullet"/>
        <w:ind w:left="283"/>
      </w:pPr>
      <w:r>
        <w:rPr>
          <w:sz w:val="20"/>
        </w:rPr>
        <w:t>KPI: high-risk signal response time improved &gt;= 20%.</w:t>
      </w:r>
    </w:p>
    <w:p>
      <w:pPr>
        <w:pStyle w:val="ListBullet"/>
        <w:ind w:left="283"/>
      </w:pPr>
      <w:r>
        <w:rPr>
          <w:sz w:val="20"/>
        </w:rPr>
        <w:t>Acceptance: pilot evidence package з outcome metrics.</w:t>
      </w:r>
    </w:p>
    <w:p>
      <w:pPr>
        <w:pStyle w:val="Heading2"/>
      </w:pPr>
      <w:r>
        <w:rPr>
          <w:color w:val="1A569A"/>
          <w:sz w:val="24"/>
        </w:rPr>
        <w:t>WP6 Impact, Dissemination, Exploitation</w:t>
      </w:r>
    </w:p>
    <w:p>
      <w:pPr>
        <w:pStyle w:val="ListBullet"/>
        <w:ind w:left="283"/>
      </w:pPr>
      <w:r>
        <w:rPr>
          <w:sz w:val="20"/>
        </w:rPr>
        <w:t>KPI: мінімум 2 high-quality dissemination outputs.</w:t>
      </w:r>
    </w:p>
    <w:p>
      <w:pPr>
        <w:pStyle w:val="ListBullet"/>
        <w:ind w:left="283"/>
      </w:pPr>
      <w:r>
        <w:rPr>
          <w:sz w:val="20"/>
        </w:rPr>
        <w:t>KPI: exploitation plan з 12-місячним roadmap ухвалений.</w:t>
      </w:r>
    </w:p>
    <w:p>
      <w:pPr>
        <w:pStyle w:val="ListBullet"/>
        <w:ind w:left="283"/>
      </w:pPr>
      <w:r>
        <w:rPr>
          <w:sz w:val="20"/>
        </w:rPr>
        <w:t>Acceptance: impact and exploitation dossier complete.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