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TRL Mapping and Evidence</w:t>
      </w:r>
    </w:p>
    <w:p>
      <w:pPr>
        <w:jc w:val="center"/>
      </w:pPr>
      <w:r>
        <w:rPr>
          <w:sz w:val="24"/>
        </w:rPr>
        <w:t>Research Layer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TRL Mapping and Evidence</w:t>
      </w:r>
    </w:p>
    <w:p>
      <w:r>
        <w:rPr>
          <w:sz w:val="20"/>
        </w:rPr>
        <w:t>Мова: Українська (default) | [English](04-trl-mapping-evidence.en.md)</w:t>
      </w:r>
    </w:p>
    <w:p>
      <w:pPr>
        <w:pStyle w:val="Heading2"/>
      </w:pPr>
      <w:r>
        <w:rPr>
          <w:color w:val="1A569A"/>
          <w:sz w:val="24"/>
        </w:rPr>
        <w:t>Мета</w:t>
      </w:r>
    </w:p>
    <w:p>
      <w:r>
        <w:rPr>
          <w:sz w:val="20"/>
        </w:rPr>
        <w:t>Показати перехід Current TRL -&gt; Target TRL -&gt; Evidence для ключових компонентів.</w:t>
      </w:r>
    </w:p>
    <w:p>
      <w:pPr>
        <w:pStyle w:val="Heading2"/>
      </w:pPr>
      <w:r>
        <w:rPr>
          <w:color w:val="1A569A"/>
          <w:sz w:val="24"/>
        </w:rPr>
        <w:t>Таблиця TRL</w:t>
      </w:r>
    </w:p>
    <w:p>
      <w:r>
        <w:rPr>
          <w:rFonts w:ascii="Courier New" w:hAnsi="Courier New"/>
          <w:sz w:val="20"/>
        </w:rPr>
        <w:t>| Component                                    | Current TRL | Target TRL | Evidence Required                                          | Source Docs                                                                 |</w:t>
      </w:r>
    </w:p>
    <w:p>
      <w:r>
        <w:rPr>
          <w:rFonts w:ascii="Courier New" w:hAnsi="Courier New"/>
          <w:sz w:val="20"/>
        </w:rPr>
        <w:t>| -------------------------------------------- | ----------- | ---------- | ---------------------------------------------------------- | --------------------------------------------------------------------------- |</w:t>
      </w:r>
    </w:p>
    <w:p>
      <w:r>
        <w:rPr>
          <w:rFonts w:ascii="Courier New" w:hAnsi="Courier New"/>
          <w:sz w:val="20"/>
        </w:rPr>
        <w:t>| DIP Core (API, workflow, decision trace)     | 4-5         | 6-7        | pilot-grade reliability, traceability, governance logs     | docs/grant/15-dip-architecture.md, docs/grant/16-decision-engine.md         |</w:t>
      </w:r>
    </w:p>
    <w:p>
      <w:r>
        <w:rPr>
          <w:rFonts w:ascii="Courier New" w:hAnsi="Courier New"/>
          <w:sz w:val="20"/>
        </w:rPr>
        <w:t>| ML Pipeline (training, registry, monitoring) | 3-5         | 5-6        | reproducible evaluation, drift controls, rollback evidence | docs/grant/18-model-registry.md, docs/grant/23-model-lifecycle.md           |</w:t>
      </w:r>
    </w:p>
    <w:p>
      <w:r>
        <w:rPr>
          <w:rFonts w:ascii="Courier New" w:hAnsi="Courier New"/>
          <w:sz w:val="20"/>
        </w:rPr>
        <w:t>| Dzvin.co Integration Layer                   | 5-6         | 7          | stable operational integration + adoption metrics          | docs/grant/31-dzvin.md, docs/grant/33-integration.md                        |</w:t>
      </w:r>
    </w:p>
    <w:p>
      <w:r>
        <w:rPr>
          <w:rFonts w:ascii="Courier New" w:hAnsi="Courier New"/>
          <w:sz w:val="20"/>
        </w:rPr>
        <w:t>| Explainability Stack                         | 4-5         | 6          | faithfulness + user trust validation                       | docs/grant/20-explainability.md, docs/grant/29-explainability-validation.md |</w:t>
      </w:r>
    </w:p>
    <w:p>
      <w:pPr>
        <w:pStyle w:val="Heading2"/>
      </w:pPr>
      <w:r>
        <w:rPr>
          <w:color w:val="1A569A"/>
          <w:sz w:val="24"/>
        </w:rPr>
        <w:t>Правила доказовості</w:t>
      </w:r>
    </w:p>
    <w:p>
      <w:pPr>
        <w:pStyle w:val="ListBullet"/>
        <w:ind w:left="283"/>
      </w:pPr>
      <w:r>
        <w:rPr>
          <w:sz w:val="20"/>
        </w:rPr>
        <w:t>Кожен TRL jump підтверджується тестами, метриками та артефактами відтворюваності.</w:t>
      </w:r>
    </w:p>
    <w:p>
      <w:pPr>
        <w:pStyle w:val="ListBullet"/>
        <w:ind w:left="283"/>
      </w:pPr>
      <w:r>
        <w:rPr>
          <w:sz w:val="20"/>
        </w:rPr>
        <w:t>TRL-оцінка оновлюється після кожного major milestone.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