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Technology Readiness Assessment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Technology Readiness Assessment</w:t>
      </w:r>
    </w:p>
    <w:p>
      <w:r>
        <w:rPr>
          <w:sz w:val="20"/>
        </w:rPr>
        <w:t>Мова: Українська (default) | [English](05-technology-readiness-assessment.en.md)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Детально оцінити readiness кожного модуля платформи і продуктної інтеграції.</w:t>
      </w:r>
    </w:p>
    <w:p>
      <w:pPr>
        <w:pStyle w:val="Heading2"/>
      </w:pPr>
      <w:r>
        <w:rPr>
          <w:color w:val="1A569A"/>
          <w:sz w:val="24"/>
        </w:rPr>
        <w:t>Assessment Framework</w:t>
      </w:r>
    </w:p>
    <w:p>
      <w:pPr>
        <w:pStyle w:val="ListBullet"/>
        <w:ind w:left="283"/>
      </w:pPr>
      <w:r>
        <w:rPr>
          <w:sz w:val="20"/>
        </w:rPr>
        <w:t>Functional readiness</w:t>
      </w:r>
    </w:p>
    <w:p>
      <w:pPr>
        <w:pStyle w:val="ListBullet"/>
        <w:ind w:left="283"/>
      </w:pPr>
      <w:r>
        <w:rPr>
          <w:sz w:val="20"/>
        </w:rPr>
        <w:t>Operational readiness</w:t>
      </w:r>
    </w:p>
    <w:p>
      <w:pPr>
        <w:pStyle w:val="ListBullet"/>
        <w:ind w:left="283"/>
      </w:pPr>
      <w:r>
        <w:rPr>
          <w:sz w:val="20"/>
        </w:rPr>
        <w:t>Security/compliance readiness</w:t>
      </w:r>
    </w:p>
    <w:p>
      <w:pPr>
        <w:pStyle w:val="ListBullet"/>
        <w:ind w:left="283"/>
      </w:pPr>
      <w:r>
        <w:rPr>
          <w:sz w:val="20"/>
        </w:rPr>
        <w:t>Validation readiness</w:t>
      </w:r>
    </w:p>
    <w:p>
      <w:pPr>
        <w:pStyle w:val="Heading2"/>
      </w:pPr>
      <w:r>
        <w:rPr>
          <w:color w:val="1A569A"/>
          <w:sz w:val="24"/>
        </w:rPr>
        <w:t>Module Cards (Template)</w:t>
      </w:r>
    </w:p>
    <w:p>
      <w:pPr>
        <w:pStyle w:val="Heading3"/>
      </w:pPr>
      <w:r>
        <w:rPr>
          <w:color w:val="2E75B6"/>
          <w:sz w:val="22"/>
        </w:rPr>
        <w:t>Module</w:t>
      </w:r>
    </w:p>
    <w:p>
      <w:pPr>
        <w:pStyle w:val="ListBullet"/>
        <w:ind w:left="283"/>
      </w:pPr>
      <w:r>
        <w:rPr>
          <w:sz w:val="20"/>
        </w:rPr>
        <w:t>Current TRL:</w:t>
      </w:r>
    </w:p>
    <w:p>
      <w:pPr>
        <w:pStyle w:val="ListBullet"/>
        <w:ind w:left="283"/>
      </w:pPr>
      <w:r>
        <w:rPr>
          <w:sz w:val="20"/>
        </w:rPr>
        <w:t>Target TRL:</w:t>
      </w:r>
    </w:p>
    <w:p>
      <w:pPr>
        <w:pStyle w:val="ListBullet"/>
        <w:ind w:left="283"/>
      </w:pPr>
      <w:r>
        <w:rPr>
          <w:sz w:val="20"/>
        </w:rPr>
        <w:t>Evidence available:</w:t>
      </w:r>
    </w:p>
    <w:p>
      <w:pPr>
        <w:pStyle w:val="ListBullet"/>
        <w:ind w:left="283"/>
      </w:pPr>
      <w:r>
        <w:rPr>
          <w:sz w:val="20"/>
        </w:rPr>
        <w:t>Gaps:</w:t>
      </w:r>
    </w:p>
    <w:p>
      <w:pPr>
        <w:pStyle w:val="ListBullet"/>
        <w:ind w:left="283"/>
      </w:pPr>
      <w:r>
        <w:rPr>
          <w:sz w:val="20"/>
        </w:rPr>
        <w:t>Next actions:</w:t>
      </w:r>
    </w:p>
    <w:p>
      <w:pPr>
        <w:pStyle w:val="ListBullet"/>
        <w:ind w:left="283"/>
      </w:pPr>
      <w:r>
        <w:rPr>
          <w:sz w:val="20"/>
        </w:rPr>
        <w:t>Owner:</w:t>
      </w:r>
    </w:p>
    <w:p>
      <w:pPr>
        <w:pStyle w:val="Heading2"/>
      </w:pPr>
      <w:r>
        <w:rPr>
          <w:color w:val="1A569A"/>
          <w:sz w:val="24"/>
        </w:rPr>
        <w:t>Initial Module Scope</w:t>
      </w:r>
    </w:p>
    <w:p>
      <w:pPr>
        <w:pStyle w:val="ListBullet"/>
        <w:ind w:left="283"/>
      </w:pPr>
      <w:r>
        <w:rPr>
          <w:sz w:val="20"/>
        </w:rPr>
        <w:t>Decision Engine</w:t>
      </w:r>
    </w:p>
    <w:p>
      <w:pPr>
        <w:pStyle w:val="ListBullet"/>
        <w:ind w:left="283"/>
      </w:pPr>
      <w:r>
        <w:rPr>
          <w:sz w:val="20"/>
        </w:rPr>
        <w:t>Feature Store</w:t>
      </w:r>
    </w:p>
    <w:p>
      <w:pPr>
        <w:pStyle w:val="ListBullet"/>
        <w:ind w:left="283"/>
      </w:pPr>
      <w:r>
        <w:rPr>
          <w:sz w:val="20"/>
        </w:rPr>
        <w:t>Model Registry</w:t>
      </w:r>
    </w:p>
    <w:p>
      <w:pPr>
        <w:pStyle w:val="ListBullet"/>
        <w:ind w:left="283"/>
      </w:pPr>
      <w:r>
        <w:rPr>
          <w:sz w:val="20"/>
        </w:rPr>
        <w:t>Explainability Layer</w:t>
      </w:r>
    </w:p>
    <w:p>
      <w:pPr>
        <w:pStyle w:val="ListBullet"/>
        <w:ind w:left="283"/>
      </w:pPr>
      <w:r>
        <w:rPr>
          <w:sz w:val="20"/>
        </w:rPr>
        <w:t>Integration API Layer</w:t>
      </w:r>
    </w:p>
    <w:p>
      <w:pPr>
        <w:pStyle w:val="ListBullet"/>
        <w:ind w:left="283"/>
      </w:pPr>
      <w:r>
        <w:rPr>
          <w:sz w:val="20"/>
        </w:rPr>
        <w:t>Online Governance and Diagnostics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