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Competitive Landscape</w:t>
      </w:r>
    </w:p>
    <w:p>
      <w:pPr>
        <w:jc w:val="center"/>
      </w:pPr>
      <w:r>
        <w:rPr>
          <w:sz w:val="24"/>
        </w:rPr>
        <w:t>Research Layer — Dzvin.co + DIP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Competitive Landscape</w:t>
      </w:r>
    </w:p>
    <w:p>
      <w:r>
        <w:rPr>
          <w:sz w:val="20"/>
        </w:rPr>
        <w:t>Мова: Українська (default) | [English](06-competitive-landscape.en.md)</w:t>
      </w:r>
    </w:p>
    <w:p>
      <w:pPr>
        <w:pStyle w:val="Heading2"/>
      </w:pPr>
      <w:r>
        <w:rPr>
          <w:color w:val="1A569A"/>
          <w:sz w:val="24"/>
        </w:rPr>
        <w:t>Мета</w:t>
      </w:r>
    </w:p>
    <w:p>
      <w:r>
        <w:rPr>
          <w:sz w:val="20"/>
        </w:rPr>
        <w:t>Порівняти:</w:t>
      </w:r>
    </w:p>
    <w:p>
      <w:pPr>
        <w:pStyle w:val="ListBullet"/>
        <w:ind w:left="283"/>
      </w:pPr>
      <w:r>
        <w:rPr>
          <w:sz w:val="20"/>
        </w:rPr>
        <w:t>DIP з Decision Intelligence / MLOps платформами.</w:t>
      </w:r>
    </w:p>
    <w:p>
      <w:pPr>
        <w:pStyle w:val="ListBullet"/>
        <w:ind w:left="283"/>
      </w:pPr>
      <w:r>
        <w:rPr>
          <w:sz w:val="20"/>
        </w:rPr>
        <w:t>Dzvin.co з mental wellbeing продуктами.</w:t>
      </w:r>
    </w:p>
    <w:p>
      <w:pPr>
        <w:pStyle w:val="Heading2"/>
      </w:pPr>
      <w:r>
        <w:rPr>
          <w:color w:val="1A569A"/>
          <w:sz w:val="24"/>
        </w:rPr>
        <w:t>Comparison Axes</w:t>
      </w:r>
    </w:p>
    <w:p>
      <w:pPr>
        <w:pStyle w:val="ListBullet"/>
        <w:ind w:left="283"/>
      </w:pPr>
      <w:r>
        <w:rPr>
          <w:sz w:val="20"/>
        </w:rPr>
        <w:t>Explainability depth</w:t>
      </w:r>
    </w:p>
    <w:p>
      <w:pPr>
        <w:pStyle w:val="ListBullet"/>
        <w:ind w:left="283"/>
      </w:pPr>
      <w:r>
        <w:rPr>
          <w:sz w:val="20"/>
        </w:rPr>
        <w:t>Governance and policy controls</w:t>
      </w:r>
    </w:p>
    <w:p>
      <w:pPr>
        <w:pStyle w:val="ListBullet"/>
        <w:ind w:left="283"/>
      </w:pPr>
      <w:r>
        <w:rPr>
          <w:sz w:val="20"/>
        </w:rPr>
        <w:t>Reproducibility readiness</w:t>
      </w:r>
    </w:p>
    <w:p>
      <w:pPr>
        <w:pStyle w:val="ListBullet"/>
        <w:ind w:left="283"/>
      </w:pPr>
      <w:r>
        <w:rPr>
          <w:sz w:val="20"/>
        </w:rPr>
        <w:t>Domain adaptation cost</w:t>
      </w:r>
    </w:p>
    <w:p>
      <w:pPr>
        <w:pStyle w:val="ListBullet"/>
        <w:ind w:left="283"/>
      </w:pPr>
      <w:r>
        <w:rPr>
          <w:sz w:val="20"/>
        </w:rPr>
        <w:t>B2B operational actionability</w:t>
      </w:r>
    </w:p>
    <w:p>
      <w:pPr>
        <w:pStyle w:val="Heading2"/>
      </w:pPr>
      <w:r>
        <w:rPr>
          <w:color w:val="1A569A"/>
          <w:sz w:val="24"/>
        </w:rPr>
        <w:t>DIP vs Platform Alternatives (Framework)</w:t>
      </w:r>
    </w:p>
    <w:p>
      <w:r>
        <w:rPr>
          <w:rFonts w:ascii="Courier New" w:hAnsi="Courier New"/>
          <w:sz w:val="20"/>
        </w:rPr>
        <w:t>| Axis                            | DIP                        | Typical MLOps Platform |</w:t>
      </w:r>
    </w:p>
    <w:p>
      <w:r>
        <w:rPr>
          <w:rFonts w:ascii="Courier New" w:hAnsi="Courier New"/>
          <w:sz w:val="20"/>
        </w:rPr>
        <w:t>| ------------------------------- | -------------------------- | ---------------------- |</w:t>
      </w:r>
    </w:p>
    <w:p>
      <w:r>
        <w:rPr>
          <w:rFonts w:ascii="Courier New" w:hAnsi="Courier New"/>
          <w:sz w:val="20"/>
        </w:rPr>
        <w:t>| Hybrid rule+ML governance       | Native target architecture | Often external/custom  |</w:t>
      </w:r>
    </w:p>
    <w:p>
      <w:r>
        <w:rPr>
          <w:rFonts w:ascii="Courier New" w:hAnsi="Courier New"/>
          <w:sz w:val="20"/>
        </w:rPr>
        <w:t>| Decision trace as contract      | Core requirement           | Usually optional       |</w:t>
      </w:r>
    </w:p>
    <w:p>
      <w:r>
        <w:rPr>
          <w:rFonts w:ascii="Courier New" w:hAnsi="Courier New"/>
          <w:sz w:val="20"/>
        </w:rPr>
        <w:t>| Domain adapter pattern          | Explicit                   | Varies                 |</w:t>
      </w:r>
    </w:p>
    <w:p>
      <w:r>
        <w:rPr>
          <w:rFonts w:ascii="Courier New" w:hAnsi="Courier New"/>
          <w:sz w:val="20"/>
        </w:rPr>
        <w:t>| Mental wellbeing specialization | Via Dzvin.co integration   | Usually absent         |</w:t>
      </w:r>
    </w:p>
    <w:p>
      <w:pPr>
        <w:pStyle w:val="Heading2"/>
      </w:pPr>
      <w:r>
        <w:rPr>
          <w:color w:val="1A569A"/>
          <w:sz w:val="24"/>
        </w:rPr>
        <w:t>Dzvin.co vs Wellbeing Alternatives (Framework)</w:t>
      </w:r>
    </w:p>
    <w:p>
      <w:r>
        <w:rPr>
          <w:rFonts w:ascii="Courier New" w:hAnsi="Courier New"/>
          <w:sz w:val="20"/>
        </w:rPr>
        <w:t>| Axis                         | Dzvin.co          | Typical wellbeing product |</w:t>
      </w:r>
    </w:p>
    <w:p>
      <w:r>
        <w:rPr>
          <w:rFonts w:ascii="Courier New" w:hAnsi="Courier New"/>
          <w:sz w:val="20"/>
        </w:rPr>
        <w:t>| ---------------------------- | ----------------- | ------------------------- |</w:t>
      </w:r>
    </w:p>
    <w:p>
      <w:r>
        <w:rPr>
          <w:rFonts w:ascii="Courier New" w:hAnsi="Courier New"/>
          <w:sz w:val="20"/>
        </w:rPr>
        <w:t>| B2B action recommendations   | Integrated target | Often dashboard-first     |</w:t>
      </w:r>
    </w:p>
    <w:p>
      <w:r>
        <w:rPr>
          <w:rFonts w:ascii="Courier New" w:hAnsi="Courier New"/>
          <w:sz w:val="20"/>
        </w:rPr>
        <w:t>| Explainable risk outputs     | Explicit target   | Often limited             |</w:t>
      </w:r>
    </w:p>
    <w:p>
      <w:r>
        <w:rPr>
          <w:rFonts w:ascii="Courier New" w:hAnsi="Courier New"/>
          <w:sz w:val="20"/>
        </w:rPr>
        <w:t>| R&amp;D traceability integration | Platform-linked   | Rare                      |</w:t>
      </w:r>
    </w:p>
    <w:p>
      <w:pPr>
        <w:pStyle w:val="Heading2"/>
      </w:pPr>
      <w:r>
        <w:rPr>
          <w:color w:val="1A569A"/>
          <w:sz w:val="24"/>
        </w:rPr>
        <w:t>Next step</w:t>
      </w:r>
    </w:p>
    <w:p>
      <w:pPr>
        <w:pStyle w:val="ListBullet"/>
        <w:ind w:left="283"/>
      </w:pPr>
      <w:r>
        <w:rPr>
          <w:sz w:val="20"/>
        </w:rPr>
        <w:t>Заповнити фактами з підтвердженими публічними джерелами та benchmark evidence.</w:t>
      </w:r>
    </w:p>
    <w:p>
      <w:pPr>
        <w:pStyle w:val="Heading2"/>
      </w:pPr>
      <w:r>
        <w:rPr>
          <w:color w:val="1A569A"/>
          <w:sz w:val="24"/>
        </w:rPr>
        <w:t>Horizon Europe References</w:t>
      </w:r>
    </w:p>
    <w:p>
      <w:pPr>
        <w:pStyle w:val="ListBullet"/>
        <w:ind w:left="283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Funding and Tenders Portal (application process): https://research-and-innovation.ec.europa.eu/funding/how-apply/application-process_en</w:t>
      </w:r>
    </w:p>
    <w:p>
      <w:pPr>
        <w:pStyle w:val="ListBullet"/>
        <w:ind w:left="283"/>
      </w:pPr>
      <w:r>
        <w:rPr>
          <w:sz w:val="20"/>
        </w:rPr>
        <w:t>EIC Pathfinder FAQ (eligibility and conditions): https://eic.ec.europa.eu/eic-frequently-asked-questions/faqs-general-conditions-and-eligibility_en</w:t>
      </w:r>
    </w:p>
    <w:p>
      <w:pPr>
        <w:pStyle w:val="ListBullet"/>
        <w:ind w:left="283"/>
      </w:pPr>
      <w:r>
        <w:rPr>
          <w:sz w:val="20"/>
        </w:rPr>
        <w:t>Evaluation Form (expert criteria): https://ec.europa.eu/info/funding-tenders/opportunities/docs/2021-2027/horizon/temp-form/ef/ef_he-eic-pathfinder-open_en.pdf</w:t>
      </w:r>
    </w:p>
    <w:p>
      <w:pPr>
        <w:pStyle w:val="ListBullet"/>
        <w:ind w:left="283"/>
      </w:pPr>
      <w:r>
        <w:rPr>
          <w:sz w:val="20"/>
        </w:rPr>
        <w:t>Advice for Applicants: https://rea.ec.europa.eu/guidance/advice-applicants_en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>References:</w:t>
      </w:r>
    </w:p>
    <w:p>
      <w:pPr>
        <w:pStyle w:val="ListBullet"/>
        <w:ind w:left="283"/>
      </w:pPr>
      <w:r>
        <w:rPr>
          <w:sz w:val="20"/>
        </w:rPr>
        <w:t>EIC Pathfinder: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PARP Ścieżka SMART: https://www.parp.gov.pl/harmonogram-naborow/grants/sciezka-smart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