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IP Strategy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IP Strategy</w:t>
      </w:r>
    </w:p>
    <w:p>
      <w:r>
        <w:rPr>
          <w:sz w:val="20"/>
        </w:rPr>
        <w:t>Мова: Українська (default) | [English](07-ip-strategy.en.md)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Визначити межі між proprietary, open та potentially patentable активами.</w:t>
      </w:r>
    </w:p>
    <w:p>
      <w:pPr>
        <w:pStyle w:val="Heading2"/>
      </w:pPr>
      <w:r>
        <w:rPr>
          <w:color w:val="1A569A"/>
          <w:sz w:val="24"/>
        </w:rPr>
        <w:t>IP Buckets</w:t>
      </w:r>
    </w:p>
    <w:p>
      <w:pPr>
        <w:pStyle w:val="ListBullet"/>
        <w:ind w:left="283"/>
      </w:pPr>
      <w:r>
        <w:rPr>
          <w:sz w:val="20"/>
        </w:rPr>
        <w:t>Potentially patentable: специфічні decision governance механізми, якщо novelty and jurisdiction criteria met.</w:t>
      </w:r>
    </w:p>
    <w:p>
      <w:pPr>
        <w:pStyle w:val="ListBullet"/>
        <w:ind w:left="283"/>
      </w:pPr>
      <w:r>
        <w:rPr>
          <w:sz w:val="20"/>
        </w:rPr>
        <w:t>Proprietary: production policies, risk calibration playbooks, partner-specific adapters.</w:t>
      </w:r>
    </w:p>
    <w:p>
      <w:pPr>
        <w:pStyle w:val="ListBullet"/>
        <w:ind w:left="283"/>
      </w:pPr>
      <w:r>
        <w:rPr>
          <w:sz w:val="20"/>
        </w:rPr>
        <w:t>Open source candidates: non-sensitive utilities, generic SDK components, selected tooling.</w:t>
      </w:r>
    </w:p>
    <w:p>
      <w:pPr>
        <w:pStyle w:val="Heading2"/>
      </w:pPr>
      <w:r>
        <w:rPr>
          <w:color w:val="1A569A"/>
          <w:sz w:val="24"/>
        </w:rPr>
        <w:t>Governance</w:t>
      </w:r>
    </w:p>
    <w:p>
      <w:pPr>
        <w:pStyle w:val="ListBullet"/>
        <w:ind w:left="283"/>
      </w:pPr>
      <w:r>
        <w:rPr>
          <w:sz w:val="20"/>
        </w:rPr>
        <w:t>Invention disclosure workflow.</w:t>
      </w:r>
    </w:p>
    <w:p>
      <w:pPr>
        <w:pStyle w:val="ListBullet"/>
        <w:ind w:left="283"/>
      </w:pPr>
      <w:r>
        <w:rPr>
          <w:sz w:val="20"/>
        </w:rPr>
        <w:t>Prior-art check before filing decisions.</w:t>
      </w:r>
    </w:p>
    <w:p>
      <w:pPr>
        <w:pStyle w:val="ListBullet"/>
        <w:ind w:left="283"/>
      </w:pPr>
      <w:r>
        <w:rPr>
          <w:sz w:val="20"/>
        </w:rPr>
        <w:t>Publication review to avoid accidental disclosure before IP decisions.</w:t>
      </w:r>
    </w:p>
    <w:p>
      <w:pPr>
        <w:pStyle w:val="Heading2"/>
      </w:pPr>
      <w:r>
        <w:rPr>
          <w:color w:val="1A569A"/>
          <w:sz w:val="24"/>
        </w:rPr>
        <w:t>Licensing Principles</w:t>
      </w:r>
    </w:p>
    <w:p>
      <w:pPr>
        <w:pStyle w:val="ListBullet"/>
        <w:ind w:left="283"/>
      </w:pPr>
      <w:r>
        <w:rPr>
          <w:sz w:val="20"/>
        </w:rPr>
        <w:t>Відкрите: там, де це прискорює ecosystem adoption.</w:t>
      </w:r>
    </w:p>
    <w:p>
      <w:pPr>
        <w:pStyle w:val="ListBullet"/>
        <w:ind w:left="283"/>
      </w:pPr>
      <w:r>
        <w:rPr>
          <w:sz w:val="20"/>
        </w:rPr>
        <w:t>Закрите: там, де це core commercial moat.</w:t>
      </w:r>
    </w:p>
    <w:p>
      <w:pPr>
        <w:pStyle w:val="Heading2"/>
      </w:pPr>
      <w:r>
        <w:rPr>
          <w:color w:val="1A569A"/>
          <w:sz w:val="24"/>
        </w:rPr>
        <w:t>Deliverables</w:t>
      </w:r>
    </w:p>
    <w:p>
      <w:pPr>
        <w:pStyle w:val="ListBullet"/>
        <w:ind w:left="283"/>
      </w:pPr>
      <w:r>
        <w:rPr>
          <w:sz w:val="20"/>
        </w:rPr>
        <w:t>IP asset register</w:t>
      </w:r>
    </w:p>
    <w:p>
      <w:pPr>
        <w:pStyle w:val="ListBullet"/>
        <w:ind w:left="283"/>
      </w:pPr>
      <w:r>
        <w:rPr>
          <w:sz w:val="20"/>
        </w:rPr>
        <w:t>Filing decision log</w:t>
      </w:r>
    </w:p>
    <w:p>
      <w:pPr>
        <w:pStyle w:val="ListBullet"/>
        <w:ind w:left="283"/>
      </w:pPr>
      <w:r>
        <w:rPr>
          <w:sz w:val="20"/>
        </w:rPr>
        <w:t>Open-source release policy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