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Consortium Handbook</w:t>
      </w:r>
    </w:p>
    <w:p>
      <w:pPr>
        <w:jc w:val="center"/>
      </w:pPr>
      <w:r>
        <w:rPr>
          <w:sz w:val="24"/>
        </w:rPr>
        <w:t>Research Layer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Consortium Handbook</w:t>
      </w:r>
    </w:p>
    <w:p>
      <w:r>
        <w:rPr>
          <w:sz w:val="20"/>
        </w:rPr>
        <w:t>Мова: Українська (default) | [English](08-consortium-handbook.en.md)</w:t>
      </w:r>
    </w:p>
    <w:p>
      <w:pPr>
        <w:pStyle w:val="Heading2"/>
      </w:pPr>
      <w:r>
        <w:rPr>
          <w:color w:val="1A569A"/>
          <w:sz w:val="24"/>
        </w:rPr>
        <w:t>Мета</w:t>
      </w:r>
    </w:p>
    <w:p>
      <w:r>
        <w:rPr>
          <w:sz w:val="20"/>
        </w:rPr>
        <w:t>Описати ролі та відповідальності партнерів для грантового виконання.</w:t>
      </w:r>
    </w:p>
    <w:p>
      <w:pPr>
        <w:pStyle w:val="Heading2"/>
      </w:pPr>
      <w:r>
        <w:rPr>
          <w:color w:val="1A569A"/>
          <w:sz w:val="24"/>
        </w:rPr>
        <w:t>Partner Types</w:t>
      </w:r>
    </w:p>
    <w:p>
      <w:pPr>
        <w:pStyle w:val="ListBullet"/>
        <w:ind w:left="283"/>
      </w:pPr>
      <w:r>
        <w:rPr>
          <w:sz w:val="20"/>
        </w:rPr>
        <w:t>Platform engineering partner</w:t>
      </w:r>
    </w:p>
    <w:p>
      <w:pPr>
        <w:pStyle w:val="ListBullet"/>
        <w:ind w:left="283"/>
      </w:pPr>
      <w:r>
        <w:rPr>
          <w:sz w:val="20"/>
        </w:rPr>
        <w:t>Product and pilot partner</w:t>
      </w:r>
    </w:p>
    <w:p>
      <w:pPr>
        <w:pStyle w:val="ListBullet"/>
        <w:ind w:left="283"/>
      </w:pPr>
      <w:r>
        <w:rPr>
          <w:sz w:val="20"/>
        </w:rPr>
        <w:t>Research/academic partner</w:t>
      </w:r>
    </w:p>
    <w:p>
      <w:pPr>
        <w:pStyle w:val="ListBullet"/>
        <w:ind w:left="283"/>
      </w:pPr>
      <w:r>
        <w:rPr>
          <w:sz w:val="20"/>
        </w:rPr>
        <w:t>Clinical advisory partner</w:t>
      </w:r>
    </w:p>
    <w:p>
      <w:pPr>
        <w:pStyle w:val="ListBullet"/>
        <w:ind w:left="283"/>
      </w:pPr>
      <w:r>
        <w:rPr>
          <w:sz w:val="20"/>
        </w:rPr>
        <w:t>Compliance/legal support partner</w:t>
      </w:r>
    </w:p>
    <w:p>
      <w:pPr>
        <w:pStyle w:val="Heading2"/>
      </w:pPr>
      <w:r>
        <w:rPr>
          <w:color w:val="1A569A"/>
          <w:sz w:val="24"/>
        </w:rPr>
        <w:t>Role Model</w:t>
      </w:r>
    </w:p>
    <w:p>
      <w:pPr>
        <w:pStyle w:val="ListBullet"/>
        <w:ind w:left="283"/>
      </w:pPr>
      <w:r>
        <w:rPr>
          <w:sz w:val="20"/>
        </w:rPr>
        <w:t>Coordinator: governance, reporting, risk steering.</w:t>
      </w:r>
    </w:p>
    <w:p>
      <w:pPr>
        <w:pStyle w:val="ListBullet"/>
        <w:ind w:left="283"/>
      </w:pPr>
      <w:r>
        <w:rPr>
          <w:sz w:val="20"/>
        </w:rPr>
        <w:t>Technical lead: architecture and delivery quality.</w:t>
      </w:r>
    </w:p>
    <w:p>
      <w:pPr>
        <w:pStyle w:val="ListBullet"/>
        <w:ind w:left="283"/>
      </w:pPr>
      <w:r>
        <w:rPr>
          <w:sz w:val="20"/>
        </w:rPr>
        <w:t>Scientific lead: methodology and publication quality.</w:t>
      </w:r>
    </w:p>
    <w:p>
      <w:pPr>
        <w:pStyle w:val="ListBullet"/>
        <w:ind w:left="283"/>
      </w:pPr>
      <w:r>
        <w:rPr>
          <w:sz w:val="20"/>
        </w:rPr>
        <w:t>Pilot lead: deployment and adoption outcomes.</w:t>
      </w:r>
    </w:p>
    <w:p>
      <w:pPr>
        <w:pStyle w:val="Heading2"/>
      </w:pPr>
      <w:r>
        <w:rPr>
          <w:color w:val="1A569A"/>
          <w:sz w:val="24"/>
        </w:rPr>
        <w:t>Operating Model</w:t>
      </w:r>
    </w:p>
    <w:p>
      <w:pPr>
        <w:pStyle w:val="ListBullet"/>
        <w:ind w:left="283"/>
      </w:pPr>
      <w:r>
        <w:rPr>
          <w:sz w:val="20"/>
        </w:rPr>
        <w:t>Decision cadence (weekly ops, monthly steering).</w:t>
      </w:r>
    </w:p>
    <w:p>
      <w:pPr>
        <w:pStyle w:val="ListBullet"/>
        <w:ind w:left="283"/>
      </w:pPr>
      <w:r>
        <w:rPr>
          <w:sz w:val="20"/>
        </w:rPr>
        <w:t>Artifact ownership and review flow.</w:t>
      </w:r>
    </w:p>
    <w:p>
      <w:pPr>
        <w:pStyle w:val="ListBullet"/>
        <w:ind w:left="283"/>
      </w:pPr>
      <w:r>
        <w:rPr>
          <w:sz w:val="20"/>
        </w:rPr>
        <w:t>Conflict resolution and change control.</w:t>
      </w:r>
    </w:p>
    <w:p>
      <w:pPr>
        <w:pStyle w:val="Heading2"/>
      </w:pPr>
      <w:r>
        <w:rPr>
          <w:color w:val="1A569A"/>
          <w:sz w:val="24"/>
        </w:rPr>
        <w:t>Mandatory Annexes</w:t>
      </w:r>
    </w:p>
    <w:p>
      <w:pPr>
        <w:pStyle w:val="ListBullet"/>
        <w:ind w:left="283"/>
      </w:pPr>
      <w:r>
        <w:rPr>
          <w:sz w:val="20"/>
        </w:rPr>
        <w:t>RACI matrix</w:t>
      </w:r>
    </w:p>
    <w:p>
      <w:pPr>
        <w:pStyle w:val="ListBullet"/>
        <w:ind w:left="283"/>
      </w:pPr>
      <w:r>
        <w:rPr>
          <w:sz w:val="20"/>
        </w:rPr>
        <w:t>Communication protocol</w:t>
      </w:r>
    </w:p>
    <w:p>
      <w:pPr>
        <w:pStyle w:val="ListBullet"/>
        <w:ind w:left="283"/>
      </w:pPr>
      <w:r>
        <w:rPr>
          <w:sz w:val="20"/>
        </w:rPr>
        <w:t>Escalation matrix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