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22A5C"/>
          <w:sz w:val="40"/>
        </w:rPr>
        <w:t>Data Management Plan (DMP)</w:t>
      </w:r>
    </w:p>
    <w:p>
      <w:pPr>
        <w:jc w:val="center"/>
      </w:pPr>
      <w:r>
        <w:rPr>
          <w:sz w:val="24"/>
        </w:rPr>
        <w:t>Research Layer — Dzvin.co + DIP</w:t>
      </w:r>
    </w:p>
    <w:p>
      <w:pPr>
        <w:jc w:val="center"/>
      </w:pPr>
      <w:r>
        <w:rPr>
          <w:color w:val="555555"/>
          <w:sz w:val="18"/>
        </w:rPr>
        <w:t>Dzvin.co + DIP  |  2026-08-08 | Draft</w:t>
      </w:r>
    </w:p>
    <w:p>
      <w:r>
        <w:br w:type="page"/>
      </w:r>
    </w:p>
    <w:p>
      <w:pPr>
        <w:pStyle w:val="Heading1"/>
      </w:pPr>
      <w:r>
        <w:rPr>
          <w:color w:val="222A5C"/>
          <w:sz w:val="30"/>
        </w:rPr>
        <w:t>Data Management Plan (DMP)</w:t>
      </w:r>
    </w:p>
    <w:p>
      <w:r>
        <w:rPr>
          <w:sz w:val="20"/>
        </w:rPr>
        <w:t>Мова: Українська (default) | [English](09-data-management-plan-dmp.en.md)</w:t>
      </w:r>
    </w:p>
    <w:p>
      <w:pPr>
        <w:pStyle w:val="Heading2"/>
      </w:pPr>
      <w:r>
        <w:rPr>
          <w:color w:val="1A569A"/>
          <w:sz w:val="24"/>
        </w:rPr>
        <w:t>Мета</w:t>
      </w:r>
    </w:p>
    <w:p>
      <w:r>
        <w:rPr>
          <w:sz w:val="20"/>
        </w:rPr>
        <w:t>Визначити життєвий цикл даних за FAIR-принципами і вимогами європейських програм.</w:t>
      </w:r>
    </w:p>
    <w:p>
      <w:pPr>
        <w:pStyle w:val="Heading2"/>
      </w:pPr>
      <w:r>
        <w:rPr>
          <w:color w:val="1A569A"/>
          <w:sz w:val="24"/>
        </w:rPr>
        <w:t>FAIR Mapping</w:t>
      </w:r>
    </w:p>
    <w:p>
      <w:pPr>
        <w:pStyle w:val="ListBullet"/>
        <w:ind w:left="283"/>
      </w:pPr>
      <w:r>
        <w:rPr>
          <w:sz w:val="20"/>
        </w:rPr>
        <w:t>Findable: data catalog + stable identifiers.</w:t>
      </w:r>
    </w:p>
    <w:p>
      <w:pPr>
        <w:pStyle w:val="ListBullet"/>
        <w:ind w:left="283"/>
      </w:pPr>
      <w:r>
        <w:rPr>
          <w:sz w:val="20"/>
        </w:rPr>
        <w:t>Accessible: role-based controlled access.</w:t>
      </w:r>
    </w:p>
    <w:p>
      <w:pPr>
        <w:pStyle w:val="ListBullet"/>
        <w:ind w:left="283"/>
      </w:pPr>
      <w:r>
        <w:rPr>
          <w:sz w:val="20"/>
        </w:rPr>
        <w:t>Interoperable: documented schemas and vocabularies.</w:t>
      </w:r>
    </w:p>
    <w:p>
      <w:pPr>
        <w:pStyle w:val="ListBullet"/>
        <w:ind w:left="283"/>
      </w:pPr>
      <w:r>
        <w:rPr>
          <w:sz w:val="20"/>
        </w:rPr>
        <w:t>Reusable: metadata quality + licensing constraints.</w:t>
      </w:r>
    </w:p>
    <w:p>
      <w:pPr>
        <w:pStyle w:val="Heading2"/>
      </w:pPr>
      <w:r>
        <w:rPr>
          <w:color w:val="1A569A"/>
          <w:sz w:val="24"/>
        </w:rPr>
        <w:t>Data Lifecycle</w:t>
      </w:r>
    </w:p>
    <w:p>
      <w:r>
        <w:rPr>
          <w:sz w:val="20"/>
        </w:rPr>
        <w:t>1. Collection</w:t>
      </w:r>
    </w:p>
    <w:p>
      <w:r>
        <w:rPr>
          <w:sz w:val="20"/>
        </w:rPr>
        <w:t>2. Validation and quality control</w:t>
      </w:r>
    </w:p>
    <w:p>
      <w:r>
        <w:rPr>
          <w:sz w:val="20"/>
        </w:rPr>
        <w:t>3. Feature and label derivation</w:t>
      </w:r>
    </w:p>
    <w:p>
      <w:r>
        <w:rPr>
          <w:sz w:val="20"/>
        </w:rPr>
        <w:t>4. Storage and protection</w:t>
      </w:r>
    </w:p>
    <w:p>
      <w:r>
        <w:rPr>
          <w:sz w:val="20"/>
        </w:rPr>
        <w:t>5. Controlled sharing/export</w:t>
      </w:r>
    </w:p>
    <w:p>
      <w:r>
        <w:rPr>
          <w:sz w:val="20"/>
        </w:rPr>
        <w:t>6. Retention and deletion/anonymization</w:t>
      </w:r>
    </w:p>
    <w:p>
      <w:pPr>
        <w:pStyle w:val="Heading2"/>
      </w:pPr>
      <w:r>
        <w:rPr>
          <w:color w:val="1A569A"/>
          <w:sz w:val="24"/>
        </w:rPr>
        <w:t>Governance</w:t>
      </w:r>
    </w:p>
    <w:p>
      <w:pPr>
        <w:pStyle w:val="ListBullet"/>
        <w:ind w:left="283"/>
      </w:pPr>
      <w:r>
        <w:rPr>
          <w:sz w:val="20"/>
        </w:rPr>
        <w:t>Data owner per dataset.</w:t>
      </w:r>
    </w:p>
    <w:p>
      <w:pPr>
        <w:pStyle w:val="ListBullet"/>
        <w:ind w:left="283"/>
      </w:pPr>
      <w:r>
        <w:rPr>
          <w:sz w:val="20"/>
        </w:rPr>
        <w:t>Access approval workflow.</w:t>
      </w:r>
    </w:p>
    <w:p>
      <w:pPr>
        <w:pStyle w:val="ListBullet"/>
        <w:ind w:left="283"/>
      </w:pPr>
      <w:r>
        <w:rPr>
          <w:sz w:val="20"/>
        </w:rPr>
        <w:t>Audit logging for sensitive operations.</w:t>
      </w:r>
    </w:p>
    <w:p>
      <w:pPr>
        <w:pStyle w:val="Heading2"/>
      </w:pPr>
      <w:r>
        <w:rPr>
          <w:color w:val="1A569A"/>
          <w:sz w:val="24"/>
        </w:rPr>
        <w:t>Security and Privacy</w:t>
      </w:r>
    </w:p>
    <w:p>
      <w:pPr>
        <w:pStyle w:val="ListBullet"/>
        <w:ind w:left="283"/>
      </w:pPr>
      <w:r>
        <w:rPr>
          <w:sz w:val="20"/>
        </w:rPr>
        <w:t>Pseudonymization for research exports.</w:t>
      </w:r>
    </w:p>
    <w:p>
      <w:pPr>
        <w:pStyle w:val="ListBullet"/>
        <w:ind w:left="283"/>
      </w:pPr>
      <w:r>
        <w:rPr>
          <w:sz w:val="20"/>
        </w:rPr>
        <w:t>Encryption in transit and at rest.</w:t>
      </w:r>
    </w:p>
    <w:p>
      <w:pPr>
        <w:pStyle w:val="ListBullet"/>
        <w:ind w:left="283"/>
      </w:pPr>
      <w:r>
        <w:rPr>
          <w:sz w:val="20"/>
        </w:rPr>
        <w:t>Cross-border transfer safeguards.</w:t>
      </w:r>
    </w:p>
    <w:p>
      <w:pPr>
        <w:pStyle w:val="Heading2"/>
      </w:pPr>
      <w:r>
        <w:rPr>
          <w:color w:val="1A569A"/>
          <w:sz w:val="24"/>
        </w:rPr>
        <w:t>Reuse Policy</w:t>
      </w:r>
    </w:p>
    <w:p>
      <w:pPr>
        <w:pStyle w:val="ListBullet"/>
        <w:ind w:left="283"/>
      </w:pPr>
      <w:r>
        <w:rPr>
          <w:sz w:val="20"/>
        </w:rPr>
        <w:t>Internal reuse with purpose limitation.</w:t>
      </w:r>
    </w:p>
    <w:p>
      <w:pPr>
        <w:pStyle w:val="ListBullet"/>
        <w:ind w:left="283"/>
      </w:pPr>
      <w:r>
        <w:rPr>
          <w:sz w:val="20"/>
        </w:rPr>
        <w:t>External sharing only in aggregated/de-identified form and under legal basis.</w:t>
      </w:r>
    </w:p>
    <w:p>
      <w:pPr>
        <w:pStyle w:val="Heading2"/>
      </w:pPr>
      <w:r>
        <w:rPr>
          <w:color w:val="1A569A"/>
          <w:sz w:val="24"/>
        </w:rPr>
        <w:t>DMP Review Cadence</w:t>
      </w:r>
    </w:p>
    <w:p>
      <w:pPr>
        <w:pStyle w:val="ListBullet"/>
        <w:ind w:left="283"/>
      </w:pPr>
      <w:r>
        <w:rPr>
          <w:sz w:val="20"/>
        </w:rPr>
        <w:t>Quarterly review or after major architecture/regulatory changes.</w:t>
      </w:r>
    </w:p>
    <w:p>
      <w:pPr>
        <w:pStyle w:val="Heading2"/>
      </w:pPr>
      <w:r>
        <w:rPr>
          <w:color w:val="1A569A"/>
          <w:sz w:val="24"/>
        </w:rPr>
        <w:t>Horizon Europe References</w:t>
      </w:r>
    </w:p>
    <w:p>
      <w:pPr>
        <w:pStyle w:val="ListBullet"/>
        <w:ind w:left="283"/>
      </w:pPr>
      <w:r>
        <w:rPr>
          <w:sz w:val="20"/>
        </w:rPr>
        <w:t>EIC Work Programme 2026: https://eic.ec.europa.eu/eic-funding-opportunities/eic-pathfinder_en</w:t>
      </w:r>
    </w:p>
    <w:p>
      <w:pPr>
        <w:pStyle w:val="ListBullet"/>
        <w:ind w:left="283"/>
      </w:pPr>
      <w:r>
        <w:rPr>
          <w:sz w:val="20"/>
        </w:rPr>
        <w:t>Funding and Tenders Portal (application process): https://research-and-innovation.ec.europa.eu/funding/how-apply/application-process_en</w:t>
      </w:r>
    </w:p>
    <w:p>
      <w:pPr>
        <w:pStyle w:val="ListBullet"/>
        <w:ind w:left="283"/>
      </w:pPr>
      <w:r>
        <w:rPr>
          <w:sz w:val="20"/>
        </w:rPr>
        <w:t>EIC Pathfinder FAQ (eligibility and conditions): https://eic.ec.europa.eu/eic-frequently-asked-questions/faqs-general-conditions-and-eligibility_en</w:t>
      </w:r>
    </w:p>
    <w:p>
      <w:pPr>
        <w:pStyle w:val="ListBullet"/>
        <w:ind w:left="283"/>
      </w:pPr>
      <w:r>
        <w:rPr>
          <w:sz w:val="20"/>
        </w:rPr>
        <w:t>Evaluation Form (expert criteria): https://ec.europa.eu/info/funding-tenders/opportunities/docs/2021-2027/horizon/temp-form/ef/ef_he-eic-pathfinder-open_en.pdf</w:t>
      </w:r>
    </w:p>
    <w:p>
      <w:pPr>
        <w:pStyle w:val="ListBullet"/>
        <w:ind w:left="283"/>
      </w:pPr>
      <w:r>
        <w:rPr>
          <w:sz w:val="20"/>
        </w:rPr>
        <w:t>Advice for Applicants: https://rea.ec.europa.eu/guidance/advice-applicants_en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0"/>
        </w:rPr>
        <w:t>References:</w:t>
      </w:r>
    </w:p>
    <w:p>
      <w:pPr>
        <w:pStyle w:val="ListBullet"/>
        <w:ind w:left="283"/>
      </w:pPr>
      <w:r>
        <w:rPr>
          <w:sz w:val="20"/>
        </w:rPr>
        <w:t>EIC Pathfinder: https://eic.ec.europa.eu/eic-funding-opportunities/eic-pathfinder_en</w:t>
      </w:r>
    </w:p>
    <w:p>
      <w:pPr>
        <w:pStyle w:val="ListBullet"/>
        <w:ind w:left="283"/>
      </w:pPr>
      <w:r>
        <w:rPr>
          <w:sz w:val="20"/>
        </w:rPr>
        <w:t>PARP Ścieżka SMART: https://www.parp.gov.pl/harmonogram-naborow/grants/sciezka-smart</w:t>
      </w:r>
    </w:p>
    <w:sectPr w:rsidR="00FC693F" w:rsidRPr="0006063C" w:rsidSect="00034616">
      <w:pgSz w:w="12240" w:h="15840"/>
      <w:pgMar w:top="1417" w:right="1134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