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Experiment Registry</w:t>
      </w:r>
    </w:p>
    <w:p>
      <w:pPr>
        <w:jc w:val="center"/>
      </w:pPr>
      <w:r>
        <w:rPr>
          <w:sz w:val="24"/>
        </w:rPr>
        <w:t>Research Layer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Experiment Registry</w:t>
      </w:r>
    </w:p>
    <w:p>
      <w:r>
        <w:rPr>
          <w:sz w:val="20"/>
        </w:rPr>
        <w:t>Мова: Українська (default) | [English](experiment-registry.en.md)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Каталог усіх фактичних експериментів: від baseline до hybrid policy, user validation і pilot studies.</w:t>
      </w:r>
    </w:p>
    <w:p>
      <w:pPr>
        <w:pStyle w:val="Heading2"/>
      </w:pPr>
      <w:r>
        <w:rPr>
          <w:color w:val="1A569A"/>
          <w:sz w:val="24"/>
        </w:rPr>
        <w:t>Registry Rules</w:t>
      </w:r>
    </w:p>
    <w:p>
      <w:pPr>
        <w:pStyle w:val="ListBullet"/>
        <w:ind w:left="283"/>
      </w:pPr>
      <w:r>
        <w:rPr>
          <w:sz w:val="20"/>
        </w:rPr>
        <w:t>Кожен експеримент має унікальний ID.</w:t>
      </w:r>
    </w:p>
    <w:p>
      <w:pPr>
        <w:pStyle w:val="ListBullet"/>
        <w:ind w:left="283"/>
      </w:pPr>
      <w:r>
        <w:rPr>
          <w:sz w:val="20"/>
        </w:rPr>
        <w:t>Кожен запис посилається на traceability matrix.</w:t>
      </w:r>
    </w:p>
    <w:p>
      <w:pPr>
        <w:pStyle w:val="ListBullet"/>
        <w:ind w:left="283"/>
      </w:pPr>
      <w:r>
        <w:rPr>
          <w:sz w:val="20"/>
        </w:rPr>
        <w:t>Статуси: Planned, Running, Completed, Failed, Inconclusive.</w:t>
      </w:r>
    </w:p>
    <w:p>
      <w:r>
        <w:rPr>
          <w:rFonts w:ascii="Courier New" w:hAnsi="Courier New"/>
          <w:sz w:val="20"/>
        </w:rPr>
        <w:t>| ID      | Goal                        | Dataset      | Model/Policy        | Result  | Status  | Linked RQ | Evidence                                | Owner                 |</w:t>
      </w:r>
    </w:p>
    <w:p>
      <w:r>
        <w:rPr>
          <w:rFonts w:ascii="Courier New" w:hAnsi="Courier New"/>
          <w:sz w:val="20"/>
        </w:rPr>
        <w:t>| ------- | --------------------------- | ------------ | ------------------- | ------- | ------- | --------- | --------------------------------------- | --------------------- |</w:t>
      </w:r>
    </w:p>
    <w:p>
      <w:r>
        <w:rPr>
          <w:rFonts w:ascii="Courier New" w:hAnsi="Courier New"/>
          <w:sz w:val="20"/>
        </w:rPr>
        <w:t>| EXP-001 | Baseline risk prediction    | Cohort v1    | Logistic Regression | Pending | Planned | RQ1       | docs/research/01-traceability-matrix.md | ML Lead               |</w:t>
      </w:r>
    </w:p>
    <w:p>
      <w:r>
        <w:rPr>
          <w:rFonts w:ascii="Courier New" w:hAnsi="Courier New"/>
          <w:sz w:val="20"/>
        </w:rPr>
        <w:t>| EXP-002 | Hybrid DIP decision policy  | Cohort v2    | Rules + RF          | Pending | Planned | RQ2       | docs/research/01-traceability-matrix.md | Decision Science Lead |</w:t>
      </w:r>
    </w:p>
    <w:p>
      <w:r>
        <w:rPr>
          <w:rFonts w:ascii="Courier New" w:hAnsi="Courier New"/>
          <w:sz w:val="20"/>
        </w:rPr>
        <w:t>| EXP-003 | Explainability trust study  | Pilot users  | XAI templates       | Pending | Planned | RQ3       | docs/research/01-traceability-matrix.md | UX Research Lead      |</w:t>
      </w:r>
    </w:p>
    <w:p>
      <w:r>
        <w:rPr>
          <w:rFonts w:ascii="Courier New" w:hAnsi="Courier New"/>
          <w:sz w:val="20"/>
        </w:rPr>
        <w:t>| EXP-004 | Adaptive baseline stability | Cohort v2    | Adaptive baseline   | Pending | Planned | RQ4       | docs/research/01-traceability-matrix.md | ML Lead               |</w:t>
      </w:r>
    </w:p>
    <w:p>
      <w:r>
        <w:rPr>
          <w:rFonts w:ascii="Courier New" w:hAnsi="Courier New"/>
          <w:sz w:val="20"/>
        </w:rPr>
        <w:t>| EXP-005 | Governance mitigation       | Pilot stream | Policy control      | Pending | Planned | RQ5       | docs/research/01-traceability-matrix.md | Platform Lead         |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