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Risk Register</w:t>
      </w:r>
    </w:p>
    <w:p>
      <w:pPr>
        <w:jc w:val="center"/>
      </w:pPr>
      <w:r>
        <w:rPr>
          <w:sz w:val="24"/>
        </w:rPr>
        <w:t>Operations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Risk Register</w:t>
      </w:r>
    </w:p>
    <w:p>
      <w:r>
        <w:rPr>
          <w:sz w:val="20"/>
        </w:rPr>
        <w:t>Мова: Українська (default) | [English](risk-register.en.md)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Живий реєстр ризиків для щомісячного оновлення (не narrative документ).</w:t>
      </w:r>
    </w:p>
    <w:p>
      <w:r>
        <w:rPr>
          <w:rFonts w:ascii="Courier New" w:hAnsi="Courier New"/>
          <w:sz w:val="20"/>
        </w:rPr>
        <w:t>| Risk ID | Category         | Description                                              | Probability | Impact | Detection Method                                    | Trigger                                                   | Mitigation                                                 | Contingency Plan                                                     | Owner           | Status | Review Date |</w:t>
      </w:r>
    </w:p>
    <w:p>
      <w:r>
        <w:rPr>
          <w:rFonts w:ascii="Courier New" w:hAnsi="Courier New"/>
          <w:sz w:val="20"/>
        </w:rPr>
        <w:t>| ------- | ---------------- | -------------------------------------------------------- | ----------- | ------ | --------------------------------------------------- | --------------------------------------------------------- | ---------------------------------------------------------- | -------------------------------------------------------------------- | --------------- | ------ | ----------- |</w:t>
      </w:r>
    </w:p>
    <w:p>
      <w:r>
        <w:rPr>
          <w:rFonts w:ascii="Courier New" w:hAnsi="Courier New"/>
          <w:sz w:val="20"/>
        </w:rPr>
        <w:t>| R-001   | Scientific       | Гіпотези не дають статистично значущого ефекту.          | Medium      | High   | Predefined statistical tests and interim analysis.  | p-value/effect size below threshold after planned sample. | Перегляд експериментального дизайну, power recalculation.  | Narrow scope to strongest hypothesis and rerun with adjusted sample. | Scientific Lead | Open   | 2026-09-01  |</w:t>
      </w:r>
    </w:p>
    <w:p>
      <w:r>
        <w:rPr>
          <w:rFonts w:ascii="Courier New" w:hAnsi="Courier New"/>
          <w:sz w:val="20"/>
        </w:rPr>
        <w:t>| R-002   | Data Quality     | Недостатнє покриття/повнота даних для ключових features. | Medium      | High   | Data quality dashboard and missingness diagnostics. | Coverage below threshold or repeated null spikes.         | Quality gates, missingness diagnostics, fallback policy.   | Freeze affected features and switch to conservative baseline.        | Data Lead       | Open   | 2026-09-01  |</w:t>
      </w:r>
    </w:p>
    <w:p>
      <w:r>
        <w:rPr>
          <w:rFonts w:ascii="Courier New" w:hAnsi="Courier New"/>
          <w:sz w:val="20"/>
        </w:rPr>
        <w:t>| R-003   | Technical        | Деградація latency в online decision flows.              | Medium      | Medium | Performance monitoring and load benchmarks.         | p95 latency exceeds budget for 3 consecutive checks.      | Profiling, caching, SLO alerts, performance budget.        | Disable non-critical diagnostics and reduce payload size.            | Platform Lead   | Open   | 2026-09-01  |</w:t>
      </w:r>
    </w:p>
    <w:p>
      <w:r>
        <w:rPr>
          <w:rFonts w:ascii="Courier New" w:hAnsi="Courier New"/>
          <w:sz w:val="20"/>
        </w:rPr>
        <w:t>| R-004   | Compliance       | GDPR non-conformant data handling in pilot operations.   | Low         | High   | Compliance audit and DSAR/SOP checks.               | Audit finding or non-compliant access event.              | DPIA, SOP enforcement, access audits.                      | Halt affected processing and initiate incident response.             | DPO             | Open   | 2026-09-01  |</w:t>
      </w:r>
    </w:p>
    <w:p>
      <w:r>
        <w:rPr>
          <w:rFonts w:ascii="Courier New" w:hAnsi="Courier New"/>
          <w:sz w:val="20"/>
        </w:rPr>
        <w:t>| R-005   | Adoption         | Низьке прийняття рекомендацій у B2B користувачів.        | Medium      | Medium | Adoption analytics and user feedback.               | Response/adoption rate below target for 2 cycles.         | UX iterations, explainability tuning, onboarding playbook. | Simplify recommendation format and add guided workflows.             | Product Lead    | Open   | 2026-09-01  |</w:t>
      </w:r>
    </w:p>
    <w:p>
      <w:r>
        <w:rPr>
          <w:rFonts w:ascii="Courier New" w:hAnsi="Courier New"/>
          <w:sz w:val="20"/>
        </w:rPr>
        <w:t>| R-006   | Model Governance | Drift causes unstable policy decisions.                  | Medium      | High   | Drift monitoring and policy health checks.          | Drift or trust score crosses degraded threshold.          | Trust gating, auto-mitigation, rollback triggers.          | Force rules-only mode until health recovers.                         | ML Lead         | Open   | 2026-09-01  |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