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System Requirements Specification</w:t>
      </w:r>
    </w:p>
    <w:p>
      <w:pPr>
        <w:jc w:val="center"/>
      </w:pPr>
      <w:r>
        <w:rPr>
          <w:sz w:val="24"/>
        </w:rPr>
        <w:t>Specification / Verification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System Requirements Specification (SRS)</w:t>
      </w:r>
    </w:p>
    <w:p>
      <w:r>
        <w:rPr>
          <w:sz w:val="20"/>
        </w:rPr>
        <w:t>Мова: Українська (default) | [English](system-requirements.en.md)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Єдиний реєстр вимог для DIP + Dzvin.co. Усі Work Packages, deliverables і acceptance criteria повинні посилатися на ID вимог із цього документа.</w:t>
      </w:r>
    </w:p>
    <w:p>
      <w:pPr>
        <w:pStyle w:val="Heading2"/>
      </w:pPr>
      <w:r>
        <w:rPr>
          <w:color w:val="1A569A"/>
          <w:sz w:val="24"/>
        </w:rPr>
        <w:t>Scope</w:t>
      </w:r>
    </w:p>
    <w:p>
      <w:pPr>
        <w:pStyle w:val="ListBullet"/>
        <w:ind w:left="283"/>
      </w:pPr>
      <w:r>
        <w:rPr>
          <w:sz w:val="20"/>
        </w:rPr>
        <w:t>DIP platform core</w:t>
      </w:r>
    </w:p>
    <w:p>
      <w:pPr>
        <w:pStyle w:val="ListBullet"/>
        <w:ind w:left="283"/>
      </w:pPr>
      <w:r>
        <w:rPr>
          <w:sz w:val="20"/>
        </w:rPr>
        <w:t>Dzvin.co integration and product surfaces</w:t>
      </w:r>
    </w:p>
    <w:p>
      <w:pPr>
        <w:pStyle w:val="ListBullet"/>
        <w:ind w:left="283"/>
      </w:pPr>
      <w:r>
        <w:rPr>
          <w:sz w:val="20"/>
        </w:rPr>
        <w:t>Research-to-production governance</w:t>
      </w:r>
    </w:p>
    <w:p>
      <w:pPr>
        <w:pStyle w:val="Heading2"/>
      </w:pPr>
      <w:r>
        <w:rPr>
          <w:color w:val="1A569A"/>
          <w:sz w:val="24"/>
        </w:rPr>
        <w:t>Functional Requirements</w:t>
      </w:r>
    </w:p>
    <w:p>
      <w:r>
        <w:rPr>
          <w:rFonts w:ascii="Courier New" w:hAnsi="Courier New"/>
          <w:sz w:val="20"/>
        </w:rPr>
        <w:t>| ID     | Requirement                                                                       | Priority | Owner                 | Acceptance Criteria                                                                       | Verification Method                      | Linked Docs                                                     |</w:t>
      </w:r>
    </w:p>
    <w:p>
      <w:r>
        <w:rPr>
          <w:rFonts w:ascii="Courier New" w:hAnsi="Courier New"/>
          <w:sz w:val="20"/>
        </w:rPr>
        <w:t>| ------ | --------------------------------------------------------------------------------- | -------- | --------------------- | ----------------------------------------------------------------------------------------- | ---------------------------------------- | --------------------------------------------------------------- |</w:t>
      </w:r>
    </w:p>
    <w:p>
      <w:r>
        <w:rPr>
          <w:rFonts w:ascii="Courier New" w:hAnsi="Courier New"/>
          <w:sz w:val="20"/>
        </w:rPr>
        <w:t>| FR-001 | Система повинна виконувати decision workflows на основі rule+ML policy.           | High     | Decision Science Lead | Decision engine returns decision, actions, confidence and trace for valid workflow input. | Integration tests + evaluation report.   | docs/grant/16-decision-engine.md                                |</w:t>
      </w:r>
    </w:p>
    <w:p>
      <w:r>
        <w:rPr>
          <w:rFonts w:ascii="Courier New" w:hAnsi="Courier New"/>
          <w:sz w:val="20"/>
        </w:rPr>
        <w:t>| FR-002 | Система повинна повертати explainability payload для кожного high-impact рішення. | High     | Explainability Lead   | Response includes executed rules, feature evidence and confidence context.                | Contract tests + XAI validation.         | docs/grant/20-explainability.md                                 |</w:t>
      </w:r>
    </w:p>
    <w:p>
      <w:r>
        <w:rPr>
          <w:rFonts w:ascii="Courier New" w:hAnsi="Courier New"/>
          <w:sz w:val="20"/>
        </w:rPr>
        <w:t>| FR-003 | Система повинна підтримувати sync/async decision execution.                       | Medium   | API Lead              | Both execution modes are available and produce equivalent functional output.              | API tests + latency monitoring.          | docs/grant/34-api.md                                            |</w:t>
      </w:r>
    </w:p>
    <w:p>
      <w:r>
        <w:rPr>
          <w:rFonts w:ascii="Courier New" w:hAnsi="Courier New"/>
          <w:sz w:val="20"/>
        </w:rPr>
        <w:t>| FR-004 | Система повинна забезпечувати tenant-scoped access control для всіх чутливих API. | High     | Security Lead         | Cross-tenant access is blocked and audited.                                               | Security tests + audit review.           | docs/grant/35-security.md                                       |</w:t>
      </w:r>
    </w:p>
    <w:p>
      <w:r>
        <w:rPr>
          <w:rFonts w:ascii="Courier New" w:hAnsi="Courier New"/>
          <w:sz w:val="20"/>
        </w:rPr>
        <w:t>| FR-005 | Система повинна зберігати auditable decision traces для відтворюваності.          | High     | Research Lead         | Trace can be replayed using stored inputs, policy version and output artifacts.           | Audit sampling + reproducibility replay. | docs/grant/30-reproducibility.md                                |</w:t>
      </w:r>
    </w:p>
    <w:p>
      <w:r>
        <w:rPr>
          <w:rFonts w:ascii="Courier New" w:hAnsi="Courier New"/>
          <w:sz w:val="20"/>
        </w:rPr>
        <w:t>| FR-006 | Система повинна підтримувати керовані policy overrides з журналом змін.           | Medium   | ML Lead               | Every override has owner, reason, TTL and audit entry.                                    | Governance tests + override audit logs.  | docs/grant/16-decision-engine.md                                |</w:t>
      </w:r>
    </w:p>
    <w:p>
      <w:r>
        <w:rPr>
          <w:rFonts w:ascii="Courier New" w:hAnsi="Courier New"/>
          <w:sz w:val="20"/>
        </w:rPr>
        <w:t>| FR-007 | Система повинна підтримувати versioned feature and model compatibility matrix.    | High     | Data Platform Lead    | Feature/model versions are linked and release-gated.                                      | Registry checks + release gates.         | docs/grant/17-feature-store.md, docs/grant/18-model-registry.md |</w:t>
      </w:r>
    </w:p>
    <w:p>
      <w:r>
        <w:rPr>
          <w:rFonts w:ascii="Courier New" w:hAnsi="Courier New"/>
          <w:sz w:val="20"/>
        </w:rPr>
        <w:t>| FR-008 | Система повинна надавати admin diagnostics для policy/model health.               | Medium   | Evaluation Lead       | Admin can inspect diagnostics without exposing hidden research fields.                    | Diagnostics endpoint checks.             | docs/grant/25-evaluation.md                                     |</w:t>
      </w:r>
    </w:p>
    <w:p>
      <w:pPr>
        <w:pStyle w:val="Heading2"/>
      </w:pPr>
      <w:r>
        <w:rPr>
          <w:color w:val="1A569A"/>
          <w:sz w:val="24"/>
        </w:rPr>
        <w:t>Non-Functional Requirements</w:t>
      </w:r>
    </w:p>
    <w:p>
      <w:r>
        <w:rPr>
          <w:rFonts w:ascii="Courier New" w:hAnsi="Courier New"/>
          <w:sz w:val="20"/>
        </w:rPr>
        <w:t>| ID      | Requirement                                      | Priority | Owner            | Target                                           | Verification Method             | Linked Docs                                |</w:t>
      </w:r>
    </w:p>
    <w:p>
      <w:r>
        <w:rPr>
          <w:rFonts w:ascii="Courier New" w:hAnsi="Courier New"/>
          <w:sz w:val="20"/>
        </w:rPr>
        <w:t>| ------- | ------------------------------------------------ | -------- | ---------------- | ------------------------------------------------ | ------------------------------- | ------------------------------------------ |</w:t>
      </w:r>
    </w:p>
    <w:p>
      <w:r>
        <w:rPr>
          <w:rFonts w:ascii="Courier New" w:hAnsi="Courier New"/>
          <w:sz w:val="20"/>
        </w:rPr>
        <w:t>| NFR-001 | Latency (online feature retrieval p95).          | High     | Platform Lead    | &lt; 150 ms                                         | Performance tests + monitoring. | docs/research/03-wp-success-criteria.md    |</w:t>
      </w:r>
    </w:p>
    <w:p>
      <w:r>
        <w:rPr>
          <w:rFonts w:ascii="Courier New" w:hAnsi="Courier New"/>
          <w:sz w:val="20"/>
        </w:rPr>
        <w:t>| NFR-002 | API availability in pilot phase.                 | High     | API Lead         | &gt;= 99.5%                                         | SLO monitoring.                 | docs/grant/34-api.md                       |</w:t>
      </w:r>
    </w:p>
    <w:p>
      <w:r>
        <w:rPr>
          <w:rFonts w:ascii="Courier New" w:hAnsi="Courier New"/>
          <w:sz w:val="20"/>
        </w:rPr>
        <w:t>| NFR-003 | Decision trace completeness.                     | High     | Research Lead    | 100% for mandatory flows                         | Audit reports.                  | docs/grant/16-decision-engine.md           |</w:t>
      </w:r>
    </w:p>
    <w:p>
      <w:r>
        <w:rPr>
          <w:rFonts w:ascii="Courier New" w:hAnsi="Courier New"/>
          <w:sz w:val="20"/>
        </w:rPr>
        <w:t>| NFR-004 | Explainability comprehension.                    | High     | UX Research Lead | &gt;= 80% correct interpretation                    | User validation study.          | docs/grant/29-explainability-validation.md |</w:t>
      </w:r>
    </w:p>
    <w:p>
      <w:r>
        <w:rPr>
          <w:rFonts w:ascii="Courier New" w:hAnsi="Courier New"/>
          <w:sz w:val="20"/>
        </w:rPr>
        <w:t>| NFR-005 | Trust uplift with explanations.                  | Medium   | Research Lead    | &gt;= +10% vs baseline                              | Controlled experiment.          | docs/research/03-wp-success-criteria.md    |</w:t>
      </w:r>
    </w:p>
    <w:p>
      <w:r>
        <w:rPr>
          <w:rFonts w:ascii="Courier New" w:hAnsi="Courier New"/>
          <w:sz w:val="20"/>
        </w:rPr>
        <w:t>| NFR-006 | Security incident tolerance.                     | High     | Security Lead    | 0 unresolved critical incidents                  | Security governance review.     | docs/grant/35-security.md                  |</w:t>
      </w:r>
    </w:p>
    <w:p>
      <w:r>
        <w:rPr>
          <w:rFonts w:ascii="Courier New" w:hAnsi="Courier New"/>
          <w:sz w:val="20"/>
        </w:rPr>
        <w:t>| NFR-007 | Reproducibility for key claims.                  | High     | Repro Lead       | 100% reproducibility certificates for top claims | Reproduction protocol audit.    | docs/grant/30-reproducibility.md           |</w:t>
      </w:r>
    </w:p>
    <w:p>
      <w:r>
        <w:rPr>
          <w:rFonts w:ascii="Courier New" w:hAnsi="Courier New"/>
          <w:sz w:val="20"/>
        </w:rPr>
        <w:t>| NFR-008 | Compliance response SLA (data subject requests). | High     | DPO              | Defined SOP and tracked SLA                      | GDPR operations audit.          | docs/grant/36-gdpr.md                      |</w:t>
      </w:r>
    </w:p>
    <w:p>
      <w:pPr>
        <w:pStyle w:val="Heading2"/>
      </w:pPr>
      <w:r>
        <w:rPr>
          <w:color w:val="1A569A"/>
          <w:sz w:val="24"/>
        </w:rPr>
        <w:t>Traceability Rule</w:t>
      </w:r>
    </w:p>
    <w:p>
      <w:pPr>
        <w:pStyle w:val="ListBullet"/>
        <w:ind w:left="283"/>
      </w:pPr>
      <w:r>
        <w:rPr>
          <w:sz w:val="20"/>
        </w:rPr>
        <w:t>Кожен deliverable у `docs/operations/deliverables-register.md` повинен посилатися мінімум на 1 FR або NFR.</w:t>
      </w:r>
    </w:p>
    <w:p>
      <w:pPr>
        <w:pStyle w:val="ListBullet"/>
        <w:ind w:left="283"/>
      </w:pPr>
      <w:r>
        <w:rPr>
          <w:sz w:val="20"/>
        </w:rPr>
        <w:t>Кожен WP acceptance criteria у `docs/research/03-wp-success-criteria.md` має бути мапований на вимоги цього SRS.</w:t>
      </w:r>
    </w:p>
    <w:p>
      <w:pPr>
        <w:pStyle w:val="ListBullet"/>
        <w:ind w:left="283"/>
      </w:pPr>
      <w:r>
        <w:rPr>
          <w:sz w:val="20"/>
        </w:rPr>
        <w:t>Кожен verification record у `docs/verification/verification-matrix.md` повинен посилатися на один або більше FR/NFR.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