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Verification Matrix</w:t>
      </w:r>
    </w:p>
    <w:p>
      <w:pPr>
        <w:jc w:val="center"/>
      </w:pPr>
      <w:r>
        <w:rPr>
          <w:sz w:val="24"/>
        </w:rPr>
        <w:t>Specification / Verification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Verification Matrix</w:t>
      </w:r>
    </w:p>
    <w:p>
      <w:r>
        <w:rPr>
          <w:sz w:val="20"/>
        </w:rPr>
        <w:t>Мова: Українська (default) | [English](verification-matrix.en.md)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Матриця зв'язку Requirement -&gt; Test method -&gt; Evidence -&gt; Status.</w:t>
      </w:r>
    </w:p>
    <w:p>
      <w:r>
        <w:rPr>
          <w:rFonts w:ascii="Courier New" w:hAnsi="Courier New"/>
          <w:sz w:val="20"/>
        </w:rPr>
        <w:t>| Requirement | Test method                   | Evidence                      | Status  | Owner               | Notes                              |</w:t>
      </w:r>
    </w:p>
    <w:p>
      <w:r>
        <w:rPr>
          <w:rFonts w:ascii="Courier New" w:hAnsi="Courier New"/>
          <w:sz w:val="20"/>
        </w:rPr>
        <w:t>| ----------- | ----------------------------- | ----------------------------- | ------- | ------------------- | ---------------------------------- |</w:t>
      </w:r>
    </w:p>
    <w:p>
      <w:r>
        <w:rPr>
          <w:rFonts w:ascii="Courier New" w:hAnsi="Courier New"/>
          <w:sz w:val="20"/>
        </w:rPr>
        <w:t>| FR-001      | API test + evaluation report  | test_decision.py, eval report | Done    | Platform Lead       | Hybrid decision execution          |</w:t>
      </w:r>
    </w:p>
    <w:p>
      <w:r>
        <w:rPr>
          <w:rFonts w:ascii="Courier New" w:hAnsi="Courier New"/>
          <w:sz w:val="20"/>
        </w:rPr>
        <w:t>| FR-002      | Integration test + XAI report | explanation report            | Partial | Explainability Lead | Need stronger user-study evidence  |</w:t>
      </w:r>
    </w:p>
    <w:p>
      <w:r>
        <w:rPr>
          <w:rFonts w:ascii="Courier New" w:hAnsi="Courier New"/>
          <w:sz w:val="20"/>
        </w:rPr>
        <w:t>| FR-003      | API test + load test          | api latency benchmark         | Done    | API Lead            | Sync/async execution verified      |</w:t>
      </w:r>
    </w:p>
    <w:p>
      <w:r>
        <w:rPr>
          <w:rFonts w:ascii="Courier New" w:hAnsi="Courier New"/>
          <w:sz w:val="20"/>
        </w:rPr>
        <w:t>| FR-004      | Security test                 | auth/audit test results       | Done    | Security Lead       | Tenant-scoped access verified      |</w:t>
      </w:r>
    </w:p>
    <w:p>
      <w:r>
        <w:rPr>
          <w:rFonts w:ascii="Courier New" w:hAnsi="Courier New"/>
          <w:sz w:val="20"/>
        </w:rPr>
        <w:t>| FR-005      | Reproducibility replay        | replay log + certificate      | Partial | Research Lead       | Add more pilot-derived evidence    |</w:t>
      </w:r>
    </w:p>
    <w:p>
      <w:r>
        <w:rPr>
          <w:rFonts w:ascii="Courier New" w:hAnsi="Courier New"/>
          <w:sz w:val="20"/>
        </w:rPr>
        <w:t>| FR-006      | Governance test               | policy override audit         | Done    | ML Lead             | Override logging verified          |</w:t>
      </w:r>
    </w:p>
    <w:p>
      <w:r>
        <w:rPr>
          <w:rFonts w:ascii="Courier New" w:hAnsi="Courier New"/>
          <w:sz w:val="20"/>
        </w:rPr>
        <w:t>| FR-007      | Registry check + release gate | compatibility matrix          | Partial | Data Platform Lead  | Needs full model registry coverage |</w:t>
      </w:r>
    </w:p>
    <w:p>
      <w:r>
        <w:rPr>
          <w:rFonts w:ascii="Courier New" w:hAnsi="Courier New"/>
          <w:sz w:val="20"/>
        </w:rPr>
        <w:t>| FR-008      | Diagnostics endpoint test     | diagnostics test output       | Done    | Evaluation Lead     | Admin diagnostics available        |</w:t>
      </w:r>
    </w:p>
    <w:p>
      <w:r>
        <w:rPr>
          <w:rFonts w:ascii="Courier New" w:hAnsi="Courier New"/>
          <w:sz w:val="20"/>
        </w:rPr>
        <w:t>| NFR-001     | Benchmark                     | benchmark-2026-Q3             | Pending | Platform Lead       | Target &lt;150 ms p95                 |</w:t>
      </w:r>
    </w:p>
    <w:p>
      <w:r>
        <w:rPr>
          <w:rFonts w:ascii="Courier New" w:hAnsi="Courier New"/>
          <w:sz w:val="20"/>
        </w:rPr>
        <w:t>| NFR-002     | SLO monitoring                | uptime report                 | Pending | API Lead            | Pilot phase monitoring required    |</w:t>
      </w:r>
    </w:p>
    <w:p>
      <w:r>
        <w:rPr>
          <w:rFonts w:ascii="Courier New" w:hAnsi="Courier New"/>
          <w:sz w:val="20"/>
        </w:rPr>
        <w:t>| NFR-003     | Audit report                  | trace completeness audit      | Done    | Research Lead       | Mandatory flows only               |</w:t>
      </w:r>
    </w:p>
    <w:p>
      <w:r>
        <w:rPr>
          <w:rFonts w:ascii="Courier New" w:hAnsi="Courier New"/>
          <w:sz w:val="20"/>
        </w:rPr>
        <w:t>| NFR-004     | User validation study         | comprehension report          | Partial | UX Research Lead    | Increase sample size               |</w:t>
      </w:r>
    </w:p>
    <w:p>
      <w:r>
        <w:rPr>
          <w:rFonts w:ascii="Courier New" w:hAnsi="Courier New"/>
          <w:sz w:val="20"/>
        </w:rPr>
        <w:t>| NFR-005     | Controlled experiment         | trust uplift report           | Pending | Research Lead       | Await pilot data                   |</w:t>
      </w:r>
    </w:p>
    <w:p>
      <w:r>
        <w:rPr>
          <w:rFonts w:ascii="Courier New" w:hAnsi="Courier New"/>
          <w:sz w:val="20"/>
        </w:rPr>
        <w:t>| NFR-006     | Security review               | incident review log           | Done    | Security Lead       | No unresolved critical incidents   |</w:t>
      </w:r>
    </w:p>
    <w:p>
      <w:r>
        <w:rPr>
          <w:rFonts w:ascii="Courier New" w:hAnsi="Courier New"/>
          <w:sz w:val="20"/>
        </w:rPr>
        <w:t>| NFR-007     | Reproduction audit            | reproducibility certificate   | Pending | Repro Lead          | Need top-claim certificates        |</w:t>
      </w:r>
    </w:p>
    <w:p>
      <w:r>
        <w:rPr>
          <w:rFonts w:ascii="Courier New" w:hAnsi="Courier New"/>
          <w:sz w:val="20"/>
        </w:rPr>
        <w:t>| NFR-008     | GDPR audit                    | DSAR/SOP evidence             | Done    | DPO                 | SOP documented                     |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