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Vision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Vision</w:t>
      </w:r>
    </w:p>
    <w:p>
      <w:r>
        <w:rPr>
          <w:sz w:val="20"/>
        </w:rPr>
        <w:t>Мова: Українська (default) | [English](01-vision.en.md)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Dzvin R&amp;D Core Team</w:t>
      </w:r>
    </w:p>
    <w:p>
      <w:pPr>
        <w:pStyle w:val="ListBullet"/>
        <w:ind w:left="283"/>
      </w:pPr>
      <w:r>
        <w:rPr>
          <w:sz w:val="20"/>
        </w:rPr>
        <w:t>Contributors: DIP Team, Dzvin.co Team, Clinical Advisors (to be assigned)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 for internal alignment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Сформувати спільне бачення єдиного R&amp;D-проєкту Dzvin.co + DIP, де DIP є універсальною Decision Intelligence Platform, а Dzvin.co є першим production use-case для mental wellbeing домену.</w:t>
      </w:r>
    </w:p>
    <w:p>
      <w:pPr>
        <w:pStyle w:val="Heading2"/>
      </w:pPr>
      <w:r>
        <w:rPr>
          <w:color w:val="1A569A"/>
          <w:sz w:val="24"/>
        </w:rPr>
        <w:t>Strategic Statement</w:t>
      </w:r>
    </w:p>
    <w:p>
      <w:r>
        <w:rPr>
          <w:sz w:val="20"/>
        </w:rPr>
        <w:t>Проєкт будується як дві взаємопов'язані системи з різними ролями:</w:t>
      </w:r>
    </w:p>
    <w:p>
      <w:pPr>
        <w:pStyle w:val="ListBullet"/>
        <w:ind w:left="283"/>
      </w:pPr>
      <w:r>
        <w:rPr>
          <w:sz w:val="20"/>
        </w:rPr>
        <w:t>DIP: незалежна технологічна платформа для прийняття рішень, прогнозування, explainability, research lifecycle.</w:t>
      </w:r>
    </w:p>
    <w:p>
      <w:pPr>
        <w:pStyle w:val="ListBullet"/>
        <w:ind w:left="283"/>
      </w:pPr>
      <w:r>
        <w:rPr>
          <w:sz w:val="20"/>
        </w:rPr>
        <w:t>Dzvin.co: доменний продукт для працівників, менеджерів та компаній, який використовує DIP через API-контракт.</w:t>
      </w:r>
    </w:p>
    <w:p>
      <w:r>
        <w:rPr>
          <w:sz w:val="20"/>
        </w:rPr>
        <w:t>Ключова стратегія: відокремити ядро інтелектуальних рішень від прикладного UX/бізнес-логіки, щоб:</w:t>
      </w:r>
    </w:p>
    <w:p>
      <w:pPr>
        <w:pStyle w:val="ListBullet"/>
        <w:ind w:left="283"/>
      </w:pPr>
      <w:r>
        <w:rPr>
          <w:sz w:val="20"/>
        </w:rPr>
        <w:t>повторно використовувати R&amp;D-результати у кількох продуктах;</w:t>
      </w:r>
    </w:p>
    <w:p>
      <w:pPr>
        <w:pStyle w:val="ListBullet"/>
        <w:ind w:left="283"/>
      </w:pPr>
      <w:r>
        <w:rPr>
          <w:sz w:val="20"/>
        </w:rPr>
        <w:t>прискорити валідацію гіпотез без переписування платформенного ядра;</w:t>
      </w:r>
    </w:p>
    <w:p>
      <w:pPr>
        <w:pStyle w:val="ListBullet"/>
        <w:ind w:left="283"/>
      </w:pPr>
      <w:r>
        <w:rPr>
          <w:sz w:val="20"/>
        </w:rPr>
        <w:t>забезпечити traceability від експерименту до production-рішення.</w:t>
      </w:r>
    </w:p>
    <w:p>
      <w:pPr>
        <w:pStyle w:val="Heading2"/>
      </w:pPr>
      <w:r>
        <w:rPr>
          <w:color w:val="1A569A"/>
          <w:sz w:val="24"/>
        </w:rPr>
        <w:t>Why Now</w:t>
      </w:r>
    </w:p>
    <w:p>
      <w:r>
        <w:rPr>
          <w:sz w:val="20"/>
        </w:rPr>
        <w:t>Поточний стан ринку створює три синхронні запити:</w:t>
      </w:r>
    </w:p>
    <w:p>
      <w:pPr>
        <w:pStyle w:val="ListBullet"/>
        <w:ind w:left="283"/>
      </w:pPr>
      <w:r>
        <w:rPr>
          <w:sz w:val="20"/>
        </w:rPr>
        <w:t>компанії потребують пояснюваних сигналів ризику та actionable рекомендацій, а не тільки сирої аналітики;</w:t>
      </w:r>
    </w:p>
    <w:p>
      <w:pPr>
        <w:pStyle w:val="ListBullet"/>
        <w:ind w:left="283"/>
      </w:pPr>
      <w:r>
        <w:rPr>
          <w:sz w:val="20"/>
        </w:rPr>
        <w:t>AI-рішення в wellbeing часто непрозорі та погано відтворювані;</w:t>
      </w:r>
    </w:p>
    <w:p>
      <w:pPr>
        <w:pStyle w:val="ListBullet"/>
        <w:ind w:left="283"/>
      </w:pPr>
      <w:r>
        <w:rPr>
          <w:sz w:val="20"/>
        </w:rPr>
        <w:t>регуляторні й етичні вимоги (GDPR, AI governance) вимагають auditable pipelines.</w:t>
      </w:r>
    </w:p>
    <w:p>
      <w:pPr>
        <w:pStyle w:val="Heading2"/>
      </w:pPr>
      <w:r>
        <w:rPr>
          <w:color w:val="1A569A"/>
          <w:sz w:val="24"/>
        </w:rPr>
        <w:t>Mission</w:t>
      </w:r>
    </w:p>
    <w:p>
      <w:r>
        <w:rPr>
          <w:sz w:val="20"/>
        </w:rPr>
        <w:t>Створити відтворювану, пояснювану та доменно-агностичну платформу Decision Intelligence, яка може підтримувати mental health use-cases і масштабуватися в інші галузі без зміни core.</w:t>
      </w:r>
    </w:p>
    <w:p>
      <w:pPr>
        <w:pStyle w:val="Heading2"/>
      </w:pPr>
      <w:r>
        <w:rPr>
          <w:color w:val="1A569A"/>
          <w:sz w:val="24"/>
        </w:rPr>
        <w:t>Long-Term Vision (5+ years)</w:t>
      </w:r>
    </w:p>
    <w:p>
      <w:pPr>
        <w:pStyle w:val="ListBullet"/>
        <w:ind w:left="283"/>
      </w:pPr>
      <w:r>
        <w:rPr>
          <w:sz w:val="20"/>
        </w:rPr>
        <w:t>DIP стає окремим reusable платформним продуктом з plugin-моделлю.</w:t>
      </w:r>
    </w:p>
    <w:p>
      <w:pPr>
        <w:pStyle w:val="ListBullet"/>
        <w:ind w:left="283"/>
      </w:pPr>
      <w:r>
        <w:rPr>
          <w:sz w:val="20"/>
        </w:rPr>
        <w:t>Dzvin.co виступає еталонним доказом практичної цінності платформи у чутливому домені mental wellbeing.</w:t>
      </w:r>
    </w:p>
    <w:p>
      <w:pPr>
        <w:pStyle w:val="ListBullet"/>
        <w:ind w:left="283"/>
      </w:pPr>
      <w:r>
        <w:rPr>
          <w:sz w:val="20"/>
        </w:rPr>
        <w:t>Кожен новий use-case додається через adapter + configuration + optional plugins.</w:t>
      </w:r>
    </w:p>
    <w:p>
      <w:pPr>
        <w:pStyle w:val="Heading2"/>
      </w:pPr>
      <w:r>
        <w:rPr>
          <w:color w:val="1A569A"/>
          <w:sz w:val="24"/>
        </w:rPr>
        <w:t>Design Principles</w:t>
      </w:r>
    </w:p>
    <w:p>
      <w:pPr>
        <w:pStyle w:val="ListBullet"/>
        <w:ind w:left="283"/>
      </w:pPr>
      <w:r>
        <w:rPr>
          <w:sz w:val="20"/>
        </w:rPr>
        <w:t>Domain Independent ядро</w:t>
      </w:r>
    </w:p>
    <w:p>
      <w:pPr>
        <w:pStyle w:val="ListBullet"/>
        <w:ind w:left="283"/>
      </w:pPr>
      <w:r>
        <w:rPr>
          <w:sz w:val="20"/>
        </w:rPr>
        <w:t>API First інтеграція</w:t>
      </w:r>
    </w:p>
    <w:p>
      <w:pPr>
        <w:pStyle w:val="ListBullet"/>
        <w:ind w:left="283"/>
      </w:pPr>
      <w:r>
        <w:rPr>
          <w:sz w:val="20"/>
        </w:rPr>
        <w:t>Explainable by design</w:t>
      </w:r>
    </w:p>
    <w:p>
      <w:pPr>
        <w:pStyle w:val="ListBullet"/>
        <w:ind w:left="283"/>
      </w:pPr>
      <w:r>
        <w:rPr>
          <w:sz w:val="20"/>
        </w:rPr>
        <w:t>Hybrid intelligence (rules + statistical + ML)</w:t>
      </w:r>
    </w:p>
    <w:p>
      <w:pPr>
        <w:pStyle w:val="ListBullet"/>
        <w:ind w:left="283"/>
      </w:pPr>
      <w:r>
        <w:rPr>
          <w:sz w:val="20"/>
        </w:rPr>
        <w:t>Human-in-the-loop у high-impact сценаріях</w:t>
      </w:r>
    </w:p>
    <w:p>
      <w:pPr>
        <w:pStyle w:val="ListBullet"/>
        <w:ind w:left="283"/>
      </w:pPr>
      <w:r>
        <w:rPr>
          <w:sz w:val="20"/>
        </w:rPr>
        <w:t>Privacy-first and auditable operations</w:t>
      </w:r>
    </w:p>
    <w:p>
      <w:pPr>
        <w:pStyle w:val="ListBullet"/>
        <w:ind w:left="283"/>
      </w:pPr>
      <w:r>
        <w:rPr>
          <w:sz w:val="20"/>
        </w:rPr>
        <w:t>Reproducible research-to-production flow</w:t>
      </w:r>
    </w:p>
    <w:p>
      <w:pPr>
        <w:pStyle w:val="Heading2"/>
      </w:pPr>
      <w:r>
        <w:rPr>
          <w:color w:val="1A569A"/>
          <w:sz w:val="24"/>
        </w:rPr>
        <w:t>Product Boundary Model</w:t>
      </w:r>
    </w:p>
    <w:p>
      <w:pPr>
        <w:pStyle w:val="Heading3"/>
      </w:pPr>
      <w:r>
        <w:rPr>
          <w:color w:val="2E75B6"/>
          <w:sz w:val="22"/>
        </w:rPr>
        <w:t>DIP (platform responsibilities)</w:t>
      </w:r>
    </w:p>
    <w:p>
      <w:pPr>
        <w:pStyle w:val="ListBullet"/>
        <w:ind w:left="283"/>
      </w:pPr>
      <w:r>
        <w:rPr>
          <w:sz w:val="20"/>
        </w:rPr>
        <w:t>Rule/workflow evaluation</w:t>
      </w:r>
    </w:p>
    <w:p>
      <w:pPr>
        <w:pStyle w:val="ListBullet"/>
        <w:ind w:left="283"/>
      </w:pPr>
      <w:r>
        <w:rPr>
          <w:sz w:val="20"/>
        </w:rPr>
        <w:t>Prediction execution and confidence outputs</w:t>
      </w:r>
    </w:p>
    <w:p>
      <w:pPr>
        <w:pStyle w:val="ListBullet"/>
        <w:ind w:left="283"/>
      </w:pPr>
      <w:r>
        <w:rPr>
          <w:sz w:val="20"/>
        </w:rPr>
        <w:t>Decision trace and explanation artifacts</w:t>
      </w:r>
    </w:p>
    <w:p>
      <w:pPr>
        <w:pStyle w:val="ListBullet"/>
        <w:ind w:left="283"/>
      </w:pPr>
      <w:r>
        <w:rPr>
          <w:sz w:val="20"/>
        </w:rPr>
        <w:t>Experiment and model lifecycle hooks</w:t>
      </w:r>
    </w:p>
    <w:p>
      <w:pPr>
        <w:pStyle w:val="ListBullet"/>
        <w:ind w:left="283"/>
      </w:pPr>
      <w:r>
        <w:rPr>
          <w:sz w:val="20"/>
        </w:rPr>
        <w:t>Multi-tenant integration contract</w:t>
      </w:r>
    </w:p>
    <w:p>
      <w:pPr>
        <w:pStyle w:val="Heading3"/>
      </w:pPr>
      <w:r>
        <w:rPr>
          <w:color w:val="2E75B6"/>
          <w:sz w:val="22"/>
        </w:rPr>
        <w:t>Dzvin.co (application responsibilities)</w:t>
      </w:r>
    </w:p>
    <w:p>
      <w:pPr>
        <w:pStyle w:val="ListBullet"/>
        <w:ind w:left="283"/>
      </w:pPr>
      <w:r>
        <w:rPr>
          <w:sz w:val="20"/>
        </w:rPr>
        <w:t>End-user experiences (B2C wellbeing journeys)</w:t>
      </w:r>
    </w:p>
    <w:p>
      <w:pPr>
        <w:pStyle w:val="ListBullet"/>
        <w:ind w:left="283"/>
      </w:pPr>
      <w:r>
        <w:rPr>
          <w:sz w:val="20"/>
        </w:rPr>
        <w:t>B2B analytics and management reporting</w:t>
      </w:r>
    </w:p>
    <w:p>
      <w:pPr>
        <w:pStyle w:val="ListBullet"/>
        <w:ind w:left="283"/>
      </w:pPr>
      <w:r>
        <w:rPr>
          <w:sz w:val="20"/>
        </w:rPr>
        <w:t>Questionnaire and engagement flows</w:t>
      </w:r>
    </w:p>
    <w:p>
      <w:pPr>
        <w:pStyle w:val="ListBullet"/>
        <w:ind w:left="283"/>
      </w:pPr>
      <w:r>
        <w:rPr>
          <w:sz w:val="20"/>
        </w:rPr>
        <w:t>Operational adoption and intervention delivery</w:t>
      </w:r>
    </w:p>
    <w:p>
      <w:pPr>
        <w:pStyle w:val="Heading2"/>
      </w:pPr>
      <w:r>
        <w:rPr>
          <w:color w:val="1A569A"/>
          <w:sz w:val="24"/>
        </w:rPr>
        <w:t>Value Proposition</w:t>
      </w:r>
    </w:p>
    <w:p>
      <w:pPr>
        <w:pStyle w:val="Heading3"/>
      </w:pPr>
      <w:r>
        <w:rPr>
          <w:color w:val="2E75B6"/>
          <w:sz w:val="22"/>
        </w:rPr>
        <w:t>Scientific Value</w:t>
      </w:r>
    </w:p>
    <w:p>
      <w:pPr>
        <w:pStyle w:val="ListBullet"/>
        <w:ind w:left="283"/>
      </w:pPr>
      <w:r>
        <w:rPr>
          <w:sz w:val="20"/>
        </w:rPr>
        <w:t>Можливість перевіряти гіпотези щодо персоналізації, explainability та hybrid decision logic у production-like середовищі.</w:t>
      </w:r>
    </w:p>
    <w:p>
      <w:pPr>
        <w:pStyle w:val="Heading3"/>
      </w:pPr>
      <w:r>
        <w:rPr>
          <w:color w:val="2E75B6"/>
          <w:sz w:val="22"/>
        </w:rPr>
        <w:t>Product Value</w:t>
      </w:r>
    </w:p>
    <w:p>
      <w:pPr>
        <w:pStyle w:val="ListBullet"/>
        <w:ind w:left="283"/>
      </w:pPr>
      <w:r>
        <w:rPr>
          <w:sz w:val="20"/>
        </w:rPr>
        <w:t>Швидший цикл впровадження нових моделей/правил без перебудови всього застосунку.</w:t>
      </w:r>
    </w:p>
    <w:p>
      <w:pPr>
        <w:pStyle w:val="Heading3"/>
      </w:pPr>
      <w:r>
        <w:rPr>
          <w:color w:val="2E75B6"/>
          <w:sz w:val="22"/>
        </w:rPr>
        <w:t>Societal Value</w:t>
      </w:r>
    </w:p>
    <w:p>
      <w:pPr>
        <w:pStyle w:val="ListBullet"/>
        <w:ind w:left="283"/>
      </w:pPr>
      <w:r>
        <w:rPr>
          <w:sz w:val="20"/>
        </w:rPr>
        <w:t>Підвищення якості рішень у сфері психічного здоров'я завдяки прозорим risk signals та validated intervention pathways.</w:t>
      </w:r>
    </w:p>
    <w:p>
      <w:pPr>
        <w:pStyle w:val="Heading2"/>
      </w:pPr>
      <w:r>
        <w:rPr>
          <w:color w:val="1A569A"/>
          <w:sz w:val="24"/>
        </w:rPr>
        <w:t>Non-Goals</w:t>
      </w:r>
    </w:p>
    <w:p>
      <w:pPr>
        <w:pStyle w:val="ListBullet"/>
        <w:ind w:left="283"/>
      </w:pPr>
      <w:r>
        <w:rPr>
          <w:sz w:val="20"/>
        </w:rPr>
        <w:t>Не створювати моноліт, де продуктова логіка й AI-ядро злиті в один шар.</w:t>
      </w:r>
    </w:p>
    <w:p>
      <w:pPr>
        <w:pStyle w:val="ListBullet"/>
        <w:ind w:left="283"/>
      </w:pPr>
      <w:r>
        <w:rPr>
          <w:sz w:val="20"/>
        </w:rPr>
        <w:t>Не обмежувати DIP тільки healthcare-доменом.</w:t>
      </w:r>
    </w:p>
    <w:p>
      <w:pPr>
        <w:pStyle w:val="ListBullet"/>
        <w:ind w:left="283"/>
      </w:pPr>
      <w:r>
        <w:rPr>
          <w:sz w:val="20"/>
        </w:rPr>
        <w:t>Не позиціонувати ранні евристики як остаточно валідовані клінічні моделі.</w:t>
      </w:r>
    </w:p>
    <w:p>
      <w:pPr>
        <w:pStyle w:val="Heading2"/>
      </w:pPr>
      <w:r>
        <w:rPr>
          <w:color w:val="1A569A"/>
          <w:sz w:val="24"/>
        </w:rPr>
        <w:t>Success Criteria for Vision Alignment</w:t>
      </w:r>
    </w:p>
    <w:p>
      <w:pPr>
        <w:pStyle w:val="ListBullet"/>
        <w:ind w:left="283"/>
      </w:pPr>
      <w:r>
        <w:rPr>
          <w:sz w:val="20"/>
        </w:rPr>
        <w:t>Єдина термінологія platform vs product затверджена командами.</w:t>
      </w:r>
    </w:p>
    <w:p>
      <w:pPr>
        <w:pStyle w:val="ListBullet"/>
        <w:ind w:left="283"/>
      </w:pPr>
      <w:r>
        <w:rPr>
          <w:sz w:val="20"/>
        </w:rPr>
        <w:t>Кожен модуль Dzvin.co мапується на platform capability або application-only layer.</w:t>
      </w:r>
    </w:p>
    <w:p>
      <w:pPr>
        <w:pStyle w:val="ListBullet"/>
        <w:ind w:left="283"/>
      </w:pPr>
      <w:r>
        <w:rPr>
          <w:sz w:val="20"/>
        </w:rPr>
        <w:t>Кожна R&amp;D гіпотеза має шлях до експерименту та production signal.</w:t>
      </w:r>
    </w:p>
    <w:p>
      <w:pPr>
        <w:pStyle w:val="Heading2"/>
      </w:pPr>
      <w:r>
        <w:rPr>
          <w:color w:val="1A569A"/>
          <w:sz w:val="24"/>
        </w:rPr>
        <w:t>Open Strategic Risks</w:t>
      </w:r>
    </w:p>
    <w:p>
      <w:pPr>
        <w:pStyle w:val="ListBullet"/>
        <w:ind w:left="283"/>
      </w:pPr>
      <w:r>
        <w:rPr>
          <w:sz w:val="20"/>
        </w:rPr>
        <w:t>Ризик надмірної складності через ранню генералізацію DIP.</w:t>
      </w:r>
    </w:p>
    <w:p>
      <w:pPr>
        <w:pStyle w:val="ListBullet"/>
        <w:ind w:left="283"/>
      </w:pPr>
      <w:r>
        <w:rPr>
          <w:sz w:val="20"/>
        </w:rPr>
        <w:t>Ризик розриву між науковими метриками та операційними KPI замовників.</w:t>
      </w:r>
    </w:p>
    <w:p>
      <w:pPr>
        <w:pStyle w:val="ListBullet"/>
        <w:ind w:left="283"/>
      </w:pPr>
      <w:r>
        <w:rPr>
          <w:sz w:val="20"/>
        </w:rPr>
        <w:t>Ризик переоцінки explainability ефекту без достатньої user validation.</w:t>
      </w:r>
    </w:p>
    <w:p>
      <w:pPr>
        <w:pStyle w:val="Heading2"/>
      </w:pPr>
      <w:r>
        <w:rPr>
          <w:color w:val="1A569A"/>
          <w:sz w:val="24"/>
        </w:rPr>
        <w:t>Decisions Enabled by This Document</w:t>
      </w:r>
    </w:p>
    <w:p>
      <w:pPr>
        <w:pStyle w:val="ListBullet"/>
        <w:ind w:left="283"/>
      </w:pPr>
      <w:r>
        <w:rPr>
          <w:sz w:val="20"/>
        </w:rPr>
        <w:t>Чи подається Dzvin.co + DIP як єдиний R&amp;D проєкт: так.</w:t>
      </w:r>
    </w:p>
    <w:p>
      <w:pPr>
        <w:pStyle w:val="ListBullet"/>
        <w:ind w:left="283"/>
      </w:pPr>
      <w:r>
        <w:rPr>
          <w:sz w:val="20"/>
        </w:rPr>
        <w:t>Який об'єкт інновації у заявці: платформне decision ядро + validated domain application.</w:t>
      </w:r>
    </w:p>
    <w:p>
      <w:pPr>
        <w:pStyle w:val="ListBullet"/>
        <w:ind w:left="283"/>
      </w:pPr>
      <w:r>
        <w:rPr>
          <w:sz w:val="20"/>
        </w:rPr>
        <w:t>Як масштабувати після гранту: через adapter-based reuse DIP.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02-problem-statement.md, 04-scientific-novelty.md, 15-dip-architecture.md, 16-decision-engine.md</w:t>
      </w:r>
    </w:p>
    <w:p>
      <w:pPr>
        <w:pStyle w:val="ListBullet"/>
        <w:ind w:left="283"/>
      </w:pPr>
      <w:r>
        <w:rPr>
          <w:sz w:val="20"/>
        </w:rPr>
        <w:t>Related references: EIC Pathfinder evaluation logic (Excellence, Impact, Implementation)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