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Problem Statement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Problem Statement</w:t>
      </w:r>
    </w:p>
    <w:p>
      <w:r>
        <w:rPr>
          <w:sz w:val="20"/>
        </w:rPr>
        <w:t>Мова: Українська (default) | [English](02-problem-statement.en.md)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Research Lead</w:t>
      </w:r>
    </w:p>
    <w:p>
      <w:pPr>
        <w:pStyle w:val="ListBullet"/>
        <w:ind w:left="283"/>
      </w:pPr>
      <w:r>
        <w:rPr>
          <w:sz w:val="20"/>
        </w:rPr>
        <w:t>Contributors: Product, Data Science, Clinical and Security stakeholders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 for research framing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Формалізувати проблему, яку вирішує спільний проєкт Dzvin.co + DIP, у чотирьох вимірах: mental health, enterprise analytics, explainable AI, personalization.</w:t>
      </w:r>
    </w:p>
    <w:p>
      <w:pPr>
        <w:pStyle w:val="Heading2"/>
      </w:pPr>
      <w:r>
        <w:rPr>
          <w:color w:val="1A569A"/>
          <w:sz w:val="24"/>
        </w:rPr>
        <w:t>Problem 1: Mental Wellbeing Signal Fragmentation</w:t>
      </w:r>
    </w:p>
    <w:p>
      <w:r>
        <w:rPr>
          <w:sz w:val="20"/>
        </w:rPr>
        <w:t>Організації та користувачі мають багато окремих індикаторів (mood, stress, energy, focus, psychometric snapshots), але не мають інтегрованого decision layer, який:</w:t>
      </w:r>
    </w:p>
    <w:p>
      <w:pPr>
        <w:pStyle w:val="ListBullet"/>
        <w:ind w:left="283"/>
      </w:pPr>
      <w:r>
        <w:rPr>
          <w:sz w:val="20"/>
        </w:rPr>
        <w:t>зводить сигнали до послідовного ризик-профілю;</w:t>
      </w:r>
    </w:p>
    <w:p>
      <w:pPr>
        <w:pStyle w:val="ListBullet"/>
        <w:ind w:left="283"/>
      </w:pPr>
      <w:r>
        <w:rPr>
          <w:sz w:val="20"/>
        </w:rPr>
        <w:t>пояснює, чому саме такий висновок;</w:t>
      </w:r>
    </w:p>
    <w:p>
      <w:pPr>
        <w:pStyle w:val="ListBullet"/>
        <w:ind w:left="283"/>
      </w:pPr>
      <w:r>
        <w:rPr>
          <w:sz w:val="20"/>
        </w:rPr>
        <w:t>прив'язує висновок до конкретних дій.</w:t>
      </w:r>
    </w:p>
    <w:p>
      <w:r>
        <w:rPr>
          <w:sz w:val="20"/>
        </w:rPr>
        <w:t>Наслідок: управлінські та індивідуальні рішення часто реактивні, а не превентивні.</w:t>
      </w:r>
    </w:p>
    <w:p>
      <w:pPr>
        <w:pStyle w:val="Heading2"/>
      </w:pPr>
      <w:r>
        <w:rPr>
          <w:color w:val="1A569A"/>
          <w:sz w:val="24"/>
        </w:rPr>
        <w:t>Problem 2: Enterprise Analytics Without Actionability</w:t>
      </w:r>
    </w:p>
    <w:p>
      <w:r>
        <w:rPr>
          <w:sz w:val="20"/>
        </w:rPr>
        <w:t>У B2B-сценаріях аналітика часто завершується дашбордом, а не керованою дією.</w:t>
      </w:r>
    </w:p>
    <w:p>
      <w:r>
        <w:rPr>
          <w:sz w:val="20"/>
        </w:rPr>
        <w:t>Типовий розрив:</w:t>
      </w:r>
    </w:p>
    <w:p>
      <w:pPr>
        <w:pStyle w:val="ListBullet"/>
        <w:ind w:left="283"/>
      </w:pPr>
      <w:r>
        <w:rPr>
          <w:sz w:val="20"/>
        </w:rPr>
        <w:t>є метрика підвищеного стресу;</w:t>
      </w:r>
    </w:p>
    <w:p>
      <w:pPr>
        <w:pStyle w:val="ListBullet"/>
        <w:ind w:left="283"/>
      </w:pPr>
      <w:r>
        <w:rPr>
          <w:sz w:val="20"/>
        </w:rPr>
        <w:t>немає формалізованого decision policy, яка перетворює це на пріоритетну рекомендацію;</w:t>
      </w:r>
    </w:p>
    <w:p>
      <w:pPr>
        <w:pStyle w:val="ListBullet"/>
        <w:ind w:left="283"/>
      </w:pPr>
      <w:r>
        <w:rPr>
          <w:sz w:val="20"/>
        </w:rPr>
        <w:t>немає вбудованого контролю якості рішень у часі.</w:t>
      </w:r>
    </w:p>
    <w:p>
      <w:r>
        <w:rPr>
          <w:sz w:val="20"/>
        </w:rPr>
        <w:t>Наслідок: низький вплив аналітики на операційні зміни.</w:t>
      </w:r>
    </w:p>
    <w:p>
      <w:pPr>
        <w:pStyle w:val="Heading2"/>
      </w:pPr>
      <w:r>
        <w:rPr>
          <w:color w:val="1A569A"/>
          <w:sz w:val="24"/>
        </w:rPr>
        <w:t>Problem 3: Explainability and Trust Gap in AI Decisions</w:t>
      </w:r>
    </w:p>
    <w:p>
      <w:r>
        <w:rPr>
          <w:sz w:val="20"/>
        </w:rPr>
        <w:t>AI-рекомендації в чутливих доменах не приймаються без пояснення, confidence і auditability.</w:t>
      </w:r>
    </w:p>
    <w:p>
      <w:r>
        <w:rPr>
          <w:sz w:val="20"/>
        </w:rPr>
        <w:t>Критичні прогалини в типових системах:</w:t>
      </w:r>
    </w:p>
    <w:p>
      <w:pPr>
        <w:pStyle w:val="ListBullet"/>
        <w:ind w:left="283"/>
      </w:pPr>
      <w:r>
        <w:rPr>
          <w:sz w:val="20"/>
        </w:rPr>
        <w:t>відсутність rule trace або feature-level rationale;</w:t>
      </w:r>
    </w:p>
    <w:p>
      <w:pPr>
        <w:pStyle w:val="ListBullet"/>
        <w:ind w:left="283"/>
      </w:pPr>
      <w:r>
        <w:rPr>
          <w:sz w:val="20"/>
        </w:rPr>
        <w:t>неможливість перевірити відтворюваність рішення;</w:t>
      </w:r>
    </w:p>
    <w:p>
      <w:pPr>
        <w:pStyle w:val="ListBullet"/>
        <w:ind w:left="283"/>
      </w:pPr>
      <w:r>
        <w:rPr>
          <w:sz w:val="20"/>
        </w:rPr>
        <w:t>слабка governance-модель для fallback, overrides і policy control.</w:t>
      </w:r>
    </w:p>
    <w:p>
      <w:r>
        <w:rPr>
          <w:sz w:val="20"/>
        </w:rPr>
        <w:t>Наслідок: обмежена довіра, складність аудиту та підвищений комплаєнс-ризик.</w:t>
      </w:r>
    </w:p>
    <w:p>
      <w:pPr>
        <w:pStyle w:val="Heading2"/>
      </w:pPr>
      <w:r>
        <w:rPr>
          <w:color w:val="1A569A"/>
          <w:sz w:val="24"/>
        </w:rPr>
        <w:t>Problem 4: Personalization vs Robustness Trade-off</w:t>
      </w:r>
    </w:p>
    <w:p>
      <w:r>
        <w:rPr>
          <w:sz w:val="20"/>
        </w:rPr>
        <w:t>Персоналізація покращує релевантність, але підвищує складність валідації:</w:t>
      </w:r>
    </w:p>
    <w:p>
      <w:pPr>
        <w:pStyle w:val="ListBullet"/>
        <w:ind w:left="283"/>
      </w:pPr>
      <w:r>
        <w:rPr>
          <w:sz w:val="20"/>
        </w:rPr>
        <w:t>baseline користувача та команди динамічні;</w:t>
      </w:r>
    </w:p>
    <w:p>
      <w:pPr>
        <w:pStyle w:val="ListBullet"/>
        <w:ind w:left="283"/>
      </w:pPr>
      <w:r>
        <w:rPr>
          <w:sz w:val="20"/>
        </w:rPr>
        <w:t>моделі можуть дрейфувати;</w:t>
      </w:r>
    </w:p>
    <w:p>
      <w:pPr>
        <w:pStyle w:val="ListBullet"/>
        <w:ind w:left="283"/>
      </w:pPr>
      <w:r>
        <w:rPr>
          <w:sz w:val="20"/>
        </w:rPr>
        <w:t>fixed-threshold rule sets деградують на різних популяціях.</w:t>
      </w:r>
    </w:p>
    <w:p>
      <w:r>
        <w:rPr>
          <w:sz w:val="20"/>
        </w:rPr>
        <w:t>Наслідок: без adaptive design система або надто загальна, або нестабільна.</w:t>
      </w:r>
    </w:p>
    <w:p>
      <w:pPr>
        <w:pStyle w:val="Heading2"/>
      </w:pPr>
      <w:r>
        <w:rPr>
          <w:color w:val="1A569A"/>
          <w:sz w:val="24"/>
        </w:rPr>
        <w:t>Root Causes</w:t>
      </w:r>
    </w:p>
    <w:p>
      <w:pPr>
        <w:pStyle w:val="ListBullet"/>
        <w:ind w:left="283"/>
      </w:pPr>
      <w:r>
        <w:rPr>
          <w:sz w:val="20"/>
        </w:rPr>
        <w:t>Змішування platform intelligence і application logic в одному кодовому шарі.</w:t>
      </w:r>
    </w:p>
    <w:p>
      <w:pPr>
        <w:pStyle w:val="ListBullet"/>
        <w:ind w:left="283"/>
      </w:pPr>
      <w:r>
        <w:rPr>
          <w:sz w:val="20"/>
        </w:rPr>
        <w:t>Недостатня стандартизація decision artifacts (feature set, trace, confidence, policy signal).</w:t>
      </w:r>
    </w:p>
    <w:p>
      <w:pPr>
        <w:pStyle w:val="ListBullet"/>
        <w:ind w:left="283"/>
      </w:pPr>
      <w:r>
        <w:rPr>
          <w:sz w:val="20"/>
        </w:rPr>
        <w:t>Відсутність єдиного research-to-production контуру.</w:t>
      </w:r>
    </w:p>
    <w:p>
      <w:pPr>
        <w:pStyle w:val="Heading2"/>
      </w:pPr>
      <w:r>
        <w:rPr>
          <w:color w:val="1A569A"/>
          <w:sz w:val="24"/>
        </w:rPr>
        <w:t>Current Baseline (Verified in Existing Stack)</w:t>
      </w:r>
    </w:p>
    <w:p>
      <w:pPr>
        <w:pStyle w:val="ListBullet"/>
        <w:ind w:left="283"/>
      </w:pPr>
      <w:r>
        <w:rPr>
          <w:sz w:val="20"/>
        </w:rPr>
        <w:t>Є production-oriented бекенд Dzvin.co з B2C/B2B/R&amp;D потоками.</w:t>
      </w:r>
    </w:p>
    <w:p>
      <w:pPr>
        <w:pStyle w:val="ListBullet"/>
        <w:ind w:left="283"/>
      </w:pPr>
      <w:r>
        <w:rPr>
          <w:sz w:val="20"/>
        </w:rPr>
        <w:t>Є Decision Support модуль з deterministic rules, burnout index, impact estimation, change tracking.</w:t>
      </w:r>
    </w:p>
    <w:p>
      <w:pPr>
        <w:pStyle w:val="ListBullet"/>
        <w:ind w:left="283"/>
      </w:pPr>
      <w:r>
        <w:rPr>
          <w:sz w:val="20"/>
        </w:rPr>
        <w:t>Є online evaluation, policy control, trust thresholds, diagnostics surfaces.</w:t>
      </w:r>
    </w:p>
    <w:p>
      <w:pPr>
        <w:pStyle w:val="ListBullet"/>
        <w:ind w:left="283"/>
      </w:pPr>
      <w:r>
        <w:rPr>
          <w:sz w:val="20"/>
        </w:rPr>
        <w:t>Є окремий DIP репозиторій з API, workflow/rule execution та decision audit traces.</w:t>
      </w:r>
    </w:p>
    <w:p>
      <w:r>
        <w:rPr>
          <w:sz w:val="20"/>
        </w:rPr>
        <w:t>Це створює стартову інфраструктуру, але не закриває повністю наукові питання персоналізації, causal effect інтервенцій та зовнішньої валідності.</w:t>
      </w:r>
    </w:p>
    <w:p>
      <w:pPr>
        <w:pStyle w:val="Heading2"/>
      </w:pPr>
      <w:r>
        <w:rPr>
          <w:color w:val="1A569A"/>
          <w:sz w:val="24"/>
        </w:rPr>
        <w:t>Target Problem Resolution</w:t>
      </w:r>
    </w:p>
    <w:p>
      <w:r>
        <w:rPr>
          <w:sz w:val="20"/>
        </w:rPr>
        <w:t>Потрібна architecture-level відповідь:</w:t>
      </w:r>
    </w:p>
    <w:p>
      <w:pPr>
        <w:pStyle w:val="ListBullet"/>
        <w:ind w:left="283"/>
      </w:pPr>
      <w:r>
        <w:rPr>
          <w:sz w:val="20"/>
        </w:rPr>
        <w:t>DIP як platform core для уніфікації rules/ML/explainability;</w:t>
      </w:r>
    </w:p>
    <w:p>
      <w:pPr>
        <w:pStyle w:val="ListBullet"/>
        <w:ind w:left="283"/>
      </w:pPr>
      <w:r>
        <w:rPr>
          <w:sz w:val="20"/>
        </w:rPr>
        <w:t>Dzvin.co як validated first domain implementation;</w:t>
      </w:r>
    </w:p>
    <w:p>
      <w:pPr>
        <w:pStyle w:val="ListBullet"/>
        <w:ind w:left="283"/>
      </w:pPr>
      <w:r>
        <w:rPr>
          <w:sz w:val="20"/>
        </w:rPr>
        <w:t>єдиний R&amp;D протокол для експериментів, статистики, етики та відтворюваності.</w:t>
      </w:r>
    </w:p>
    <w:p>
      <w:pPr>
        <w:pStyle w:val="Heading2"/>
      </w:pPr>
      <w:r>
        <w:rPr>
          <w:color w:val="1A569A"/>
          <w:sz w:val="24"/>
        </w:rPr>
        <w:t>Evidence Gaps to Close in R&amp;D Phase</w:t>
      </w:r>
    </w:p>
    <w:p>
      <w:pPr>
        <w:pStyle w:val="ListBullet"/>
        <w:ind w:left="283"/>
      </w:pPr>
      <w:r>
        <w:rPr>
          <w:sz w:val="20"/>
        </w:rPr>
        <w:t>Наскільки hybrid rule+ML стабільніший за single-paradigm підходи.</w:t>
      </w:r>
    </w:p>
    <w:p>
      <w:pPr>
        <w:pStyle w:val="ListBullet"/>
        <w:ind w:left="283"/>
      </w:pPr>
      <w:r>
        <w:rPr>
          <w:sz w:val="20"/>
        </w:rPr>
        <w:t>Який вплив explainability на adoption та quality of decisions.</w:t>
      </w:r>
    </w:p>
    <w:p>
      <w:pPr>
        <w:pStyle w:val="ListBullet"/>
        <w:ind w:left="283"/>
      </w:pPr>
      <w:r>
        <w:rPr>
          <w:sz w:val="20"/>
        </w:rPr>
        <w:t>Які режими персоналізації дають приріст без втрати robustness.</w:t>
      </w:r>
    </w:p>
    <w:p>
      <w:pPr>
        <w:pStyle w:val="ListBullet"/>
        <w:ind w:left="283"/>
      </w:pPr>
      <w:r>
        <w:rPr>
          <w:sz w:val="20"/>
        </w:rPr>
        <w:t>Яка межа переносимості підходу між доменами.</w:t>
      </w:r>
    </w:p>
    <w:p>
      <w:pPr>
        <w:pStyle w:val="Heading2"/>
      </w:pPr>
      <w:r>
        <w:rPr>
          <w:color w:val="1A569A"/>
          <w:sz w:val="24"/>
        </w:rPr>
        <w:t>Scope Boundaries</w:t>
      </w:r>
    </w:p>
    <w:p>
      <w:pPr>
        <w:pStyle w:val="ListBullet"/>
        <w:ind w:left="283"/>
      </w:pPr>
      <w:r>
        <w:rPr>
          <w:sz w:val="20"/>
        </w:rPr>
        <w:t>In scope: decision intelligence для wellbeing і enterprise risk analytics.</w:t>
      </w:r>
    </w:p>
    <w:p>
      <w:pPr>
        <w:pStyle w:val="ListBullet"/>
        <w:ind w:left="283"/>
      </w:pPr>
      <w:r>
        <w:rPr>
          <w:sz w:val="20"/>
        </w:rPr>
        <w:t>Out of scope: клінічний діагноз як медичний виріб у цьому етапі.</w:t>
      </w:r>
    </w:p>
    <w:p>
      <w:pPr>
        <w:pStyle w:val="ListBullet"/>
        <w:ind w:left="283"/>
      </w:pPr>
      <w:r>
        <w:rPr>
          <w:sz w:val="20"/>
        </w:rPr>
        <w:t>Out of scope: повністю автономні high-impact рішення без human review.</w:t>
      </w:r>
    </w:p>
    <w:p>
      <w:pPr>
        <w:pStyle w:val="Heading2"/>
      </w:pPr>
      <w:r>
        <w:rPr>
          <w:color w:val="1A569A"/>
          <w:sz w:val="24"/>
        </w:rPr>
        <w:t>Success Criteria</w:t>
      </w:r>
    </w:p>
    <w:p>
      <w:pPr>
        <w:pStyle w:val="ListBullet"/>
        <w:ind w:left="283"/>
      </w:pPr>
      <w:r>
        <w:rPr>
          <w:sz w:val="20"/>
        </w:rPr>
        <w:t>Проблема описана у вимірюваних термінах (inputs, decisions, outcomes).</w:t>
      </w:r>
    </w:p>
    <w:p>
      <w:pPr>
        <w:pStyle w:val="ListBullet"/>
        <w:ind w:left="283"/>
      </w:pPr>
      <w:r>
        <w:rPr>
          <w:sz w:val="20"/>
        </w:rPr>
        <w:t>Кожна підпроблема має відповідний RQ та validation protocol.</w:t>
      </w:r>
    </w:p>
    <w:p>
      <w:pPr>
        <w:pStyle w:val="ListBullet"/>
        <w:ind w:left="283"/>
      </w:pPr>
      <w:r>
        <w:rPr>
          <w:sz w:val="20"/>
        </w:rPr>
        <w:t>Визначено, які claims є operational, а які наукові.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01-vision.md, 05-research-questions.md, 06-methodology.md, 25-evaluation.md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