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State of the Art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State of the Art</w:t>
      </w:r>
    </w:p>
    <w:p>
      <w:r>
        <w:rPr>
          <w:sz w:val="20"/>
        </w:rPr>
        <w:t>Мова: Українська (default) | [English](03-state-of-the-art.en.md)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Scientific Coordinator</w:t>
      </w:r>
    </w:p>
    <w:p>
      <w:pPr>
        <w:pStyle w:val="ListBullet"/>
        <w:ind w:left="283"/>
      </w:pPr>
      <w:r>
        <w:rPr>
          <w:sz w:val="20"/>
        </w:rPr>
        <w:t>Contributors: Market Intelligence, ML Team, Product Strategy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Порівняти Dzvin.co + DIP з поточним станом ринку та технологій, щоб чітко визначити gap і внесок проєкту.</w:t>
      </w:r>
    </w:p>
    <w:p>
      <w:pPr>
        <w:pStyle w:val="Heading2"/>
      </w:pPr>
      <w:r>
        <w:rPr>
          <w:color w:val="1A569A"/>
          <w:sz w:val="24"/>
        </w:rPr>
        <w:t>Comparative Landscape: Mental Wellbeing Platforms</w:t>
      </w:r>
    </w:p>
    <w:p>
      <w:r>
        <w:rPr>
          <w:sz w:val="20"/>
        </w:rPr>
        <w:t>Орієнтовні класи рішень (приклади):</w:t>
      </w:r>
    </w:p>
    <w:p>
      <w:pPr>
        <w:pStyle w:val="ListBullet"/>
        <w:ind w:left="283"/>
      </w:pPr>
      <w:r>
        <w:rPr>
          <w:sz w:val="20"/>
        </w:rPr>
        <w:t>Digital coaching and support apps</w:t>
      </w:r>
    </w:p>
    <w:p>
      <w:pPr>
        <w:pStyle w:val="ListBullet"/>
        <w:ind w:left="283"/>
      </w:pPr>
      <w:r>
        <w:rPr>
          <w:sz w:val="20"/>
        </w:rPr>
        <w:t>Enterprise mental wellbeing platforms</w:t>
      </w:r>
    </w:p>
    <w:p>
      <w:pPr>
        <w:pStyle w:val="ListBullet"/>
        <w:ind w:left="283"/>
      </w:pPr>
      <w:r>
        <w:rPr>
          <w:sz w:val="20"/>
        </w:rPr>
        <w:t>EAP-adjacent analytics tools</w:t>
      </w:r>
    </w:p>
    <w:p>
      <w:pPr>
        <w:pStyle w:val="Heading3"/>
      </w:pPr>
      <w:r>
        <w:rPr>
          <w:color w:val="2E75B6"/>
          <w:sz w:val="22"/>
        </w:rPr>
        <w:t>Typical Strengths in Market</w:t>
      </w:r>
    </w:p>
    <w:p>
      <w:pPr>
        <w:pStyle w:val="ListBullet"/>
        <w:ind w:left="283"/>
      </w:pPr>
      <w:r>
        <w:rPr>
          <w:sz w:val="20"/>
        </w:rPr>
        <w:t>Сильний user-facing UX.</w:t>
      </w:r>
    </w:p>
    <w:p>
      <w:pPr>
        <w:pStyle w:val="ListBullet"/>
        <w:ind w:left="283"/>
      </w:pPr>
      <w:r>
        <w:rPr>
          <w:sz w:val="20"/>
        </w:rPr>
        <w:t>Контент і engagement механіки.</w:t>
      </w:r>
    </w:p>
    <w:p>
      <w:pPr>
        <w:pStyle w:val="ListBullet"/>
        <w:ind w:left="283"/>
      </w:pPr>
      <w:r>
        <w:rPr>
          <w:sz w:val="20"/>
        </w:rPr>
        <w:t>Базова аналітика стану.</w:t>
      </w:r>
    </w:p>
    <w:p>
      <w:pPr>
        <w:pStyle w:val="Heading3"/>
      </w:pPr>
      <w:r>
        <w:rPr>
          <w:color w:val="2E75B6"/>
          <w:sz w:val="22"/>
        </w:rPr>
        <w:t>Typical Gaps</w:t>
      </w:r>
    </w:p>
    <w:p>
      <w:pPr>
        <w:pStyle w:val="ListBullet"/>
        <w:ind w:left="283"/>
      </w:pPr>
      <w:r>
        <w:rPr>
          <w:sz w:val="20"/>
        </w:rPr>
        <w:t>Обмежена explainability decision outputs.</w:t>
      </w:r>
    </w:p>
    <w:p>
      <w:pPr>
        <w:pStyle w:val="ListBullet"/>
        <w:ind w:left="283"/>
      </w:pPr>
      <w:r>
        <w:rPr>
          <w:sz w:val="20"/>
        </w:rPr>
        <w:t>Слабка auditability policy changes.</w:t>
      </w:r>
    </w:p>
    <w:p>
      <w:pPr>
        <w:pStyle w:val="ListBullet"/>
        <w:ind w:left="283"/>
      </w:pPr>
      <w:r>
        <w:rPr>
          <w:sz w:val="20"/>
        </w:rPr>
        <w:t>Недостатня прозорість R&amp;D reproducibility.</w:t>
      </w:r>
    </w:p>
    <w:p>
      <w:pPr>
        <w:pStyle w:val="Heading2"/>
      </w:pPr>
      <w:r>
        <w:rPr>
          <w:color w:val="1A569A"/>
          <w:sz w:val="24"/>
        </w:rPr>
        <w:t>Comparative Landscape: ML/MLOps Platforms</w:t>
      </w:r>
    </w:p>
    <w:p>
      <w:r>
        <w:rPr>
          <w:sz w:val="20"/>
        </w:rPr>
        <w:t>Класи платформ (приклади):</w:t>
      </w:r>
    </w:p>
    <w:p>
      <w:pPr>
        <w:pStyle w:val="ListBullet"/>
        <w:ind w:left="283"/>
      </w:pPr>
      <w:r>
        <w:rPr>
          <w:sz w:val="20"/>
        </w:rPr>
        <w:t>Experiment/model lifecycle platforms</w:t>
      </w:r>
    </w:p>
    <w:p>
      <w:pPr>
        <w:pStyle w:val="ListBullet"/>
        <w:ind w:left="283"/>
      </w:pPr>
      <w:r>
        <w:rPr>
          <w:sz w:val="20"/>
        </w:rPr>
        <w:t>Managed cloud ML services</w:t>
      </w:r>
    </w:p>
    <w:p>
      <w:pPr>
        <w:pStyle w:val="ListBullet"/>
        <w:ind w:left="283"/>
      </w:pPr>
      <w:r>
        <w:rPr>
          <w:sz w:val="20"/>
        </w:rPr>
        <w:t>Pipeline orchestration ecosystems</w:t>
      </w:r>
    </w:p>
    <w:p>
      <w:pPr>
        <w:pStyle w:val="Heading3"/>
      </w:pPr>
      <w:r>
        <w:rPr>
          <w:color w:val="2E75B6"/>
          <w:sz w:val="22"/>
        </w:rPr>
        <w:t>Typical Strengths</w:t>
      </w:r>
    </w:p>
    <w:p>
      <w:pPr>
        <w:pStyle w:val="ListBullet"/>
        <w:ind w:left="283"/>
      </w:pPr>
      <w:r>
        <w:rPr>
          <w:sz w:val="20"/>
        </w:rPr>
        <w:t>Потужний MLOps tooling.</w:t>
      </w:r>
    </w:p>
    <w:p>
      <w:pPr>
        <w:pStyle w:val="ListBullet"/>
        <w:ind w:left="283"/>
      </w:pPr>
      <w:r>
        <w:rPr>
          <w:sz w:val="20"/>
        </w:rPr>
        <w:t>Автоматизація train/deploy циклів.</w:t>
      </w:r>
    </w:p>
    <w:p>
      <w:pPr>
        <w:pStyle w:val="Heading3"/>
      </w:pPr>
      <w:r>
        <w:rPr>
          <w:color w:val="2E75B6"/>
          <w:sz w:val="22"/>
        </w:rPr>
        <w:t>Typical Gaps for this domain</w:t>
      </w:r>
    </w:p>
    <w:p>
      <w:pPr>
        <w:pStyle w:val="ListBullet"/>
        <w:ind w:left="283"/>
      </w:pPr>
      <w:r>
        <w:rPr>
          <w:sz w:val="20"/>
        </w:rPr>
        <w:t>Немає domain-ready decision governance для wellbeing.</w:t>
      </w:r>
    </w:p>
    <w:p>
      <w:pPr>
        <w:pStyle w:val="ListBullet"/>
        <w:ind w:left="283"/>
      </w:pPr>
      <w:r>
        <w:rPr>
          <w:sz w:val="20"/>
        </w:rPr>
        <w:t>Explainability часто технічна, не role-aware.</w:t>
      </w:r>
    </w:p>
    <w:p>
      <w:pPr>
        <w:pStyle w:val="ListBullet"/>
        <w:ind w:left="283"/>
      </w:pPr>
      <w:r>
        <w:rPr>
          <w:sz w:val="20"/>
        </w:rPr>
        <w:t>Відсутня пряма інтеграція з mental wellbeing workflows.</w:t>
      </w:r>
    </w:p>
    <w:p>
      <w:pPr>
        <w:pStyle w:val="Heading2"/>
      </w:pPr>
      <w:r>
        <w:rPr>
          <w:color w:val="1A569A"/>
          <w:sz w:val="24"/>
        </w:rPr>
        <w:t>Distinct Positioning of Dzvin.co + DIP</w:t>
      </w:r>
    </w:p>
    <w:p>
      <w:pPr>
        <w:pStyle w:val="ListBullet"/>
        <w:ind w:left="283"/>
      </w:pPr>
      <w:r>
        <w:rPr>
          <w:sz w:val="20"/>
        </w:rPr>
        <w:t>DIP: domain-agnostic decision intelligence core.</w:t>
      </w:r>
    </w:p>
    <w:p>
      <w:pPr>
        <w:pStyle w:val="ListBullet"/>
        <w:ind w:left="283"/>
      </w:pPr>
      <w:r>
        <w:rPr>
          <w:sz w:val="20"/>
        </w:rPr>
        <w:t>Dzvin.co: domain implementation with B2C/B2B surfaces.</w:t>
      </w:r>
    </w:p>
    <w:p>
      <w:pPr>
        <w:pStyle w:val="ListBullet"/>
        <w:ind w:left="283"/>
      </w:pPr>
      <w:r>
        <w:rPr>
          <w:sz w:val="20"/>
        </w:rPr>
        <w:t>Hybrid rule+ML+policy governance as a unified runtime model.</w:t>
      </w:r>
    </w:p>
    <w:p>
      <w:pPr>
        <w:pStyle w:val="Heading2"/>
      </w:pPr>
      <w:r>
        <w:rPr>
          <w:color w:val="1A569A"/>
          <w:sz w:val="24"/>
        </w:rPr>
        <w:t>Gap Statement</w:t>
      </w:r>
    </w:p>
    <w:p>
      <w:r>
        <w:rPr>
          <w:sz w:val="20"/>
        </w:rPr>
        <w:t>Поточні альтернативи зазвичай оптимізують або продукт, або ML-infrastructure, але не забезпечують повний ланцюг:</w:t>
      </w:r>
    </w:p>
    <w:p>
      <w:r>
        <w:rPr>
          <w:sz w:val="20"/>
        </w:rPr>
        <w:t>explainable decision contract -&gt; online policy evaluation -&gt; auditable governance -&gt; domain rollout.</w:t>
      </w:r>
    </w:p>
    <w:p>
      <w:pPr>
        <w:pStyle w:val="Heading2"/>
      </w:pPr>
      <w:r>
        <w:rPr>
          <w:color w:val="1A569A"/>
          <w:sz w:val="24"/>
        </w:rPr>
        <w:t>Evidence to Strengthen</w:t>
      </w:r>
    </w:p>
    <w:p>
      <w:pPr>
        <w:pStyle w:val="ListBullet"/>
        <w:ind w:left="283"/>
      </w:pPr>
      <w:r>
        <w:rPr>
          <w:sz w:val="20"/>
        </w:rPr>
        <w:t>Structured benchmark matrix vs selected competitors.</w:t>
      </w:r>
    </w:p>
    <w:p>
      <w:pPr>
        <w:pStyle w:val="ListBullet"/>
        <w:ind w:left="283"/>
      </w:pPr>
      <w:r>
        <w:rPr>
          <w:sz w:val="20"/>
        </w:rPr>
        <w:t>Public-doc-backed capability comparison.</w:t>
      </w:r>
    </w:p>
    <w:p>
      <w:pPr>
        <w:pStyle w:val="ListBullet"/>
        <w:ind w:left="283"/>
      </w:pPr>
      <w:r>
        <w:rPr>
          <w:sz w:val="20"/>
        </w:rPr>
        <w:t>Quantitative performance and trust comparisons where feasible.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Є прозора таблиця критеріїв порівняння.</w:t>
      </w:r>
    </w:p>
    <w:p>
      <w:pPr>
        <w:pStyle w:val="ListBullet"/>
        <w:ind w:left="283"/>
      </w:pPr>
      <w:r>
        <w:rPr>
          <w:sz w:val="20"/>
        </w:rPr>
        <w:t>Сформульовано конкретний innovation gap.</w:t>
      </w:r>
    </w:p>
    <w:p>
      <w:pPr>
        <w:pStyle w:val="ListBullet"/>
        <w:ind w:left="283"/>
      </w:pPr>
      <w:r>
        <w:rPr>
          <w:sz w:val="20"/>
        </w:rPr>
        <w:t>Gap мапується на RQ та WP.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04-scientific-novelty.md, 05-research-questions.md, 38-impact.md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