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Scientific Novelty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Scientific Novelty</w:t>
      </w:r>
    </w:p>
    <w:p>
      <w:r>
        <w:rPr>
          <w:sz w:val="20"/>
        </w:rPr>
        <w:t>Мова: Українська (default) | [English](04-scientific-novelty.en.md)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Scientific Coordinator</w:t>
      </w:r>
    </w:p>
    <w:p>
      <w:pPr>
        <w:pStyle w:val="ListBullet"/>
        <w:ind w:left="283"/>
      </w:pPr>
      <w:r>
        <w:rPr>
          <w:sz w:val="20"/>
        </w:rPr>
        <w:t>Contributors: ML Lead, Decision Science Lead, Product Research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 for reviewer-facing narrative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Сформулювати перевірювані наукові novelty claims для Dzvin.co + DIP і відділити вже підтверджені інженерні факти від гіпотез, що потребують експериментальної валідації.</w:t>
      </w:r>
    </w:p>
    <w:p>
      <w:pPr>
        <w:pStyle w:val="Heading2"/>
      </w:pPr>
      <w:r>
        <w:rPr>
          <w:color w:val="1A569A"/>
          <w:sz w:val="24"/>
        </w:rPr>
        <w:t>Reviewer-Oriented Summary</w:t>
      </w:r>
    </w:p>
    <w:p>
      <w:r>
        <w:rPr>
          <w:sz w:val="20"/>
        </w:rPr>
        <w:t>Інновація проєкту не в окремій моделі, а в architecture-level framework для пояснюваного прийняття рішень у чутливому домені: hybrid decision stack (rules + ML + policy governance) з auditability, online evaluation і адаптивною персоналізацією.</w:t>
      </w:r>
    </w:p>
    <w:p>
      <w:pPr>
        <w:pStyle w:val="Heading2"/>
      </w:pPr>
      <w:r>
        <w:rPr>
          <w:color w:val="1A569A"/>
          <w:sz w:val="24"/>
        </w:rPr>
        <w:t>Novelty Claim N1: Declarative Hybrid Decision Layer</w:t>
      </w:r>
    </w:p>
    <w:p>
      <w:pPr>
        <w:pStyle w:val="Heading3"/>
      </w:pPr>
      <w:r>
        <w:rPr>
          <w:color w:val="2E75B6"/>
          <w:sz w:val="22"/>
        </w:rPr>
        <w:t>Claim</w:t>
      </w:r>
    </w:p>
    <w:p>
      <w:r>
        <w:rPr>
          <w:sz w:val="20"/>
        </w:rPr>
        <w:t>Рішення формується не тільки через black-box prediction, а через декларативну композицію:</w:t>
      </w:r>
    </w:p>
    <w:p>
      <w:pPr>
        <w:pStyle w:val="ListBullet"/>
        <w:ind w:left="283"/>
      </w:pPr>
      <w:r>
        <w:rPr>
          <w:sz w:val="20"/>
        </w:rPr>
        <w:t>deterministic rules;</w:t>
      </w:r>
    </w:p>
    <w:p>
      <w:pPr>
        <w:pStyle w:val="ListBullet"/>
        <w:ind w:left="283"/>
      </w:pPr>
      <w:r>
        <w:rPr>
          <w:sz w:val="20"/>
        </w:rPr>
        <w:t>ML/cohort signals;</w:t>
      </w:r>
    </w:p>
    <w:p>
      <w:pPr>
        <w:pStyle w:val="ListBullet"/>
        <w:ind w:left="283"/>
      </w:pPr>
      <w:r>
        <w:rPr>
          <w:sz w:val="20"/>
        </w:rPr>
        <w:t>policy-tier conflict resolution;</w:t>
      </w:r>
    </w:p>
    <w:p>
      <w:pPr>
        <w:pStyle w:val="ListBullet"/>
        <w:ind w:left="283"/>
      </w:pPr>
      <w:r>
        <w:rPr>
          <w:sz w:val="20"/>
        </w:rPr>
        <w:t>explicit fallback logic.</w:t>
      </w:r>
    </w:p>
    <w:p>
      <w:pPr>
        <w:pStyle w:val="Heading3"/>
      </w:pPr>
      <w:r>
        <w:rPr>
          <w:color w:val="2E75B6"/>
          <w:sz w:val="22"/>
        </w:rPr>
        <w:t>Why non-obvious</w:t>
      </w:r>
    </w:p>
    <w:p>
      <w:r>
        <w:rPr>
          <w:sz w:val="20"/>
        </w:rPr>
        <w:t>Більшість систем реалізують або rules-only, або ML-only pipelines без формального шару узгодження політик у runtime.</w:t>
      </w:r>
    </w:p>
    <w:p>
      <w:pPr>
        <w:pStyle w:val="Heading3"/>
      </w:pPr>
      <w:r>
        <w:rPr>
          <w:color w:val="2E75B6"/>
          <w:sz w:val="22"/>
        </w:rPr>
        <w:t>Evidence status</w:t>
      </w:r>
    </w:p>
    <w:p>
      <w:pPr>
        <w:pStyle w:val="ListBullet"/>
        <w:ind w:left="283"/>
      </w:pPr>
      <w:r>
        <w:rPr>
          <w:sz w:val="20"/>
        </w:rPr>
        <w:t>Engineering baseline: частково реалізовано (rule evaluation, risk scoring, policy controls).</w:t>
      </w:r>
    </w:p>
    <w:p>
      <w:pPr>
        <w:pStyle w:val="ListBullet"/>
        <w:ind w:left="283"/>
      </w:pPr>
      <w:r>
        <w:rPr>
          <w:sz w:val="20"/>
        </w:rPr>
        <w:t>Scientific validation: pending.</w:t>
      </w:r>
    </w:p>
    <w:p>
      <w:pPr>
        <w:pStyle w:val="Heading2"/>
      </w:pPr>
      <w:r>
        <w:rPr>
          <w:color w:val="1A569A"/>
          <w:sz w:val="24"/>
        </w:rPr>
        <w:t>Novelty Claim N2: Explainability as First-Class Decision Artifact</w:t>
      </w:r>
    </w:p>
    <w:p>
      <w:pPr>
        <w:pStyle w:val="Heading3"/>
      </w:pPr>
      <w:r>
        <w:rPr>
          <w:color w:val="2E75B6"/>
          <w:sz w:val="22"/>
        </w:rPr>
        <w:t>Claim</w:t>
      </w:r>
    </w:p>
    <w:p>
      <w:r>
        <w:rPr>
          <w:sz w:val="20"/>
        </w:rPr>
        <w:t>Система повертає не лише risk score, а структуру пояснення (matched rules, confidence, policy source, diagnostic traces), придатну до аудиту.</w:t>
      </w:r>
    </w:p>
    <w:p>
      <w:pPr>
        <w:pStyle w:val="Heading3"/>
      </w:pPr>
      <w:r>
        <w:rPr>
          <w:color w:val="2E75B6"/>
          <w:sz w:val="22"/>
        </w:rPr>
        <w:t>Why non-obvious</w:t>
      </w:r>
    </w:p>
    <w:p>
      <w:r>
        <w:rPr>
          <w:sz w:val="20"/>
        </w:rPr>
        <w:t>У багатьох production AI-системах explainability є post-hoc або UI-доповненням, а не частиною контракту рішення.</w:t>
      </w:r>
    </w:p>
    <w:p>
      <w:pPr>
        <w:pStyle w:val="Heading3"/>
      </w:pPr>
      <w:r>
        <w:rPr>
          <w:color w:val="2E75B6"/>
          <w:sz w:val="22"/>
        </w:rPr>
        <w:t>Evidence status</w:t>
      </w:r>
    </w:p>
    <w:p>
      <w:pPr>
        <w:pStyle w:val="ListBullet"/>
        <w:ind w:left="283"/>
      </w:pPr>
      <w:r>
        <w:rPr>
          <w:sz w:val="20"/>
        </w:rPr>
        <w:t>Engineering baseline: є trace/explanation outputs та admin diagnostics surfaces.</w:t>
      </w:r>
    </w:p>
    <w:p>
      <w:pPr>
        <w:pStyle w:val="ListBullet"/>
        <w:ind w:left="283"/>
      </w:pPr>
      <w:r>
        <w:rPr>
          <w:sz w:val="20"/>
        </w:rPr>
        <w:t>Scientific validation: вплив на trust/adoption потребує контрольованих досліджень.</w:t>
      </w:r>
    </w:p>
    <w:p>
      <w:pPr>
        <w:pStyle w:val="Heading2"/>
      </w:pPr>
      <w:r>
        <w:rPr>
          <w:color w:val="1A569A"/>
          <w:sz w:val="24"/>
        </w:rPr>
        <w:t>Novelty Claim N3: Adaptive Risk via Multi-Signal Personalization</w:t>
      </w:r>
    </w:p>
    <w:p>
      <w:pPr>
        <w:pStyle w:val="Heading3"/>
      </w:pPr>
      <w:r>
        <w:rPr>
          <w:color w:val="2E75B6"/>
          <w:sz w:val="22"/>
        </w:rPr>
        <w:t>Claim</w:t>
      </w:r>
    </w:p>
    <w:p>
      <w:r>
        <w:rPr>
          <w:sz w:val="20"/>
        </w:rPr>
        <w:t>Risk signal поєднує prediction probability, anomaly score, z-score та adaptive baseline states для різних цільових рівнів (company/team/user).</w:t>
      </w:r>
    </w:p>
    <w:p>
      <w:pPr>
        <w:pStyle w:val="Heading3"/>
      </w:pPr>
      <w:r>
        <w:rPr>
          <w:color w:val="2E75B6"/>
          <w:sz w:val="22"/>
        </w:rPr>
        <w:t>Why non-obvious</w:t>
      </w:r>
    </w:p>
    <w:p>
      <w:r>
        <w:rPr>
          <w:sz w:val="20"/>
        </w:rPr>
        <w:t>Поєднання індивідуальних, командних і політичних сигналів із runtime governance рідко реалізується як єдина операційна система прийняття рішень.</w:t>
      </w:r>
    </w:p>
    <w:p>
      <w:pPr>
        <w:pStyle w:val="Heading3"/>
      </w:pPr>
      <w:r>
        <w:rPr>
          <w:color w:val="2E75B6"/>
          <w:sz w:val="22"/>
        </w:rPr>
        <w:t>Evidence status</w:t>
      </w:r>
    </w:p>
    <w:p>
      <w:pPr>
        <w:pStyle w:val="ListBullet"/>
        <w:ind w:left="283"/>
      </w:pPr>
      <w:r>
        <w:rPr>
          <w:sz w:val="20"/>
        </w:rPr>
        <w:t>Engineering baseline: є weighted risk composition, adaptive risk helpers, trust gating.</w:t>
      </w:r>
    </w:p>
    <w:p>
      <w:pPr>
        <w:pStyle w:val="ListBullet"/>
        <w:ind w:left="283"/>
      </w:pPr>
      <w:r>
        <w:rPr>
          <w:sz w:val="20"/>
        </w:rPr>
        <w:t>Scientific validation: pending (потрібні абляції та статистичні тести).</w:t>
      </w:r>
    </w:p>
    <w:p>
      <w:pPr>
        <w:pStyle w:val="Heading2"/>
      </w:pPr>
      <w:r>
        <w:rPr>
          <w:color w:val="1A569A"/>
          <w:sz w:val="24"/>
        </w:rPr>
        <w:t>Novelty Claim N4: Built-in Online Evaluation and Self-Protection Loops</w:t>
      </w:r>
    </w:p>
    <w:p>
      <w:pPr>
        <w:pStyle w:val="Heading3"/>
      </w:pPr>
      <w:r>
        <w:rPr>
          <w:color w:val="2E75B6"/>
          <w:sz w:val="22"/>
        </w:rPr>
        <w:t>Claim</w:t>
      </w:r>
    </w:p>
    <w:p>
      <w:r>
        <w:rPr>
          <w:sz w:val="20"/>
        </w:rPr>
        <w:t>Decision policy адаптується на основі online evaluation (A/B, drift, calibration, trust score), включно з auto-mitigation у degraded режимах.</w:t>
      </w:r>
    </w:p>
    <w:p>
      <w:pPr>
        <w:pStyle w:val="Heading3"/>
      </w:pPr>
      <w:r>
        <w:rPr>
          <w:color w:val="2E75B6"/>
          <w:sz w:val="22"/>
        </w:rPr>
        <w:t>Why non-obvious</w:t>
      </w:r>
    </w:p>
    <w:p>
      <w:r>
        <w:rPr>
          <w:sz w:val="20"/>
        </w:rPr>
        <w:t>У типовому enterprise analytics циклі оцінка якості відбувається офлайн і не інтегрована з runtime policy control.</w:t>
      </w:r>
    </w:p>
    <w:p>
      <w:pPr>
        <w:pStyle w:val="Heading3"/>
      </w:pPr>
      <w:r>
        <w:rPr>
          <w:color w:val="2E75B6"/>
          <w:sz w:val="22"/>
        </w:rPr>
        <w:t>Evidence status</w:t>
      </w:r>
    </w:p>
    <w:p>
      <w:pPr>
        <w:pStyle w:val="ListBullet"/>
        <w:ind w:left="283"/>
      </w:pPr>
      <w:r>
        <w:rPr>
          <w:sz w:val="20"/>
        </w:rPr>
        <w:t>Engineering baseline: реалізовані trust thresholds, mitigation cycles, policy override audit.</w:t>
      </w:r>
    </w:p>
    <w:p>
      <w:pPr>
        <w:pStyle w:val="ListBullet"/>
        <w:ind w:left="283"/>
      </w:pPr>
      <w:r>
        <w:rPr>
          <w:sz w:val="20"/>
        </w:rPr>
        <w:t>Scientific validation: pending (довести довгострокову стабільність і безпечність).</w:t>
      </w:r>
    </w:p>
    <w:p>
      <w:pPr>
        <w:pStyle w:val="Heading2"/>
      </w:pPr>
      <w:r>
        <w:rPr>
          <w:color w:val="1A569A"/>
          <w:sz w:val="24"/>
        </w:rPr>
        <w:t>Novelty Claim N5: Research-to-Production Traceability Pattern</w:t>
      </w:r>
    </w:p>
    <w:p>
      <w:pPr>
        <w:pStyle w:val="Heading3"/>
      </w:pPr>
      <w:r>
        <w:rPr>
          <w:color w:val="2E75B6"/>
          <w:sz w:val="22"/>
        </w:rPr>
        <w:t>Claim</w:t>
      </w:r>
    </w:p>
    <w:p>
      <w:r>
        <w:rPr>
          <w:sz w:val="20"/>
        </w:rPr>
        <w:t>Один і той самий decision contract підтримує перехід від експерименту до production-інференсу без втрати інтерпретованості.</w:t>
      </w:r>
    </w:p>
    <w:p>
      <w:pPr>
        <w:pStyle w:val="Heading3"/>
      </w:pPr>
      <w:r>
        <w:rPr>
          <w:color w:val="2E75B6"/>
          <w:sz w:val="22"/>
        </w:rPr>
        <w:t>Why non-obvious</w:t>
      </w:r>
    </w:p>
    <w:p>
      <w:r>
        <w:rPr>
          <w:sz w:val="20"/>
        </w:rPr>
        <w:t>Часто research pipelines і production pipelines розходяться, що знижує відтворюваність.</w:t>
      </w:r>
    </w:p>
    <w:p>
      <w:pPr>
        <w:pStyle w:val="Heading3"/>
      </w:pPr>
      <w:r>
        <w:rPr>
          <w:color w:val="2E75B6"/>
          <w:sz w:val="22"/>
        </w:rPr>
        <w:t>Evidence status</w:t>
      </w:r>
    </w:p>
    <w:p>
      <w:pPr>
        <w:pStyle w:val="ListBullet"/>
        <w:ind w:left="283"/>
      </w:pPr>
      <w:r>
        <w:rPr>
          <w:sz w:val="20"/>
        </w:rPr>
        <w:t>Engineering baseline: частково реалізований через platform/application separation.</w:t>
      </w:r>
    </w:p>
    <w:p>
      <w:pPr>
        <w:pStyle w:val="ListBullet"/>
        <w:ind w:left="283"/>
      </w:pPr>
      <w:r>
        <w:rPr>
          <w:sz w:val="20"/>
        </w:rPr>
        <w:t>Scientific validation: pending multi-cycle reproducibility study.</w:t>
      </w:r>
    </w:p>
    <w:p>
      <w:pPr>
        <w:pStyle w:val="Heading2"/>
      </w:pPr>
      <w:r>
        <w:rPr>
          <w:color w:val="1A569A"/>
          <w:sz w:val="24"/>
        </w:rPr>
        <w:t>Testability Matrix</w:t>
      </w:r>
    </w:p>
    <w:p>
      <w:r>
        <w:rPr>
          <w:rFonts w:ascii="Courier New" w:hAnsi="Courier New"/>
          <w:sz w:val="20"/>
        </w:rPr>
        <w:t>| Claim | Primary Test Type | Secondary Test Type | Main Endpoint/Artifact |</w:t>
      </w:r>
    </w:p>
    <w:p>
      <w:r>
        <w:rPr>
          <w:rFonts w:ascii="Courier New" w:hAnsi="Courier New"/>
          <w:sz w:val="20"/>
        </w:rPr>
        <w:t>|---|---|---|---|</w:t>
      </w:r>
    </w:p>
    <w:p>
      <w:r>
        <w:rPr>
          <w:rFonts w:ascii="Courier New" w:hAnsi="Courier New"/>
          <w:sz w:val="20"/>
        </w:rPr>
        <w:t>| N1 | Ablation (rules vs ML vs hybrid) | Robustness by cohort | Decision policy metrics |</w:t>
      </w:r>
    </w:p>
    <w:p>
      <w:r>
        <w:rPr>
          <w:rFonts w:ascii="Courier New" w:hAnsi="Courier New"/>
          <w:sz w:val="20"/>
        </w:rPr>
        <w:t>| N2 | User trust experiment | Decision audit completeness | Explainability validation outputs |</w:t>
      </w:r>
    </w:p>
    <w:p>
      <w:r>
        <w:rPr>
          <w:rFonts w:ascii="Courier New" w:hAnsi="Courier New"/>
          <w:sz w:val="20"/>
        </w:rPr>
        <w:t>| N3 | Calibration + AUROC by segment | Drift sensitivity | Risk signal components |</w:t>
      </w:r>
    </w:p>
    <w:p>
      <w:r>
        <w:rPr>
          <w:rFonts w:ascii="Courier New" w:hAnsi="Courier New"/>
          <w:sz w:val="20"/>
        </w:rPr>
        <w:t>| N4 | Time-series policy health | Intervention safety checks | Online evaluation logs |</w:t>
      </w:r>
    </w:p>
    <w:p>
      <w:r>
        <w:rPr>
          <w:rFonts w:ascii="Courier New" w:hAnsi="Courier New"/>
          <w:sz w:val="20"/>
        </w:rPr>
        <w:t>| N5 | Reproducibility protocol replay | Cross-env consistency | Experiment/decision trace |</w:t>
      </w:r>
    </w:p>
    <w:p>
      <w:pPr>
        <w:pStyle w:val="Heading2"/>
      </w:pPr>
      <w:r>
        <w:rPr>
          <w:color w:val="1A569A"/>
          <w:sz w:val="24"/>
        </w:rPr>
        <w:t>Falsifiability Conditions</w:t>
      </w:r>
    </w:p>
    <w:p>
      <w:r>
        <w:rPr>
          <w:sz w:val="20"/>
        </w:rPr>
        <w:t>Кожен claim вважається непідтвердженим, якщо:</w:t>
      </w:r>
    </w:p>
    <w:p>
      <w:pPr>
        <w:pStyle w:val="ListBullet"/>
        <w:ind w:left="283"/>
      </w:pPr>
      <w:r>
        <w:rPr>
          <w:sz w:val="20"/>
        </w:rPr>
        <w:t>не досягнуті заздалегідь задані метрики;</w:t>
      </w:r>
    </w:p>
    <w:p>
      <w:pPr>
        <w:pStyle w:val="ListBullet"/>
        <w:ind w:left="283"/>
      </w:pPr>
      <w:r>
        <w:rPr>
          <w:sz w:val="20"/>
        </w:rPr>
        <w:t>немає статистичної значущості у ключових порівняннях;</w:t>
      </w:r>
    </w:p>
    <w:p>
      <w:pPr>
        <w:pStyle w:val="ListBullet"/>
        <w:ind w:left="283"/>
      </w:pPr>
      <w:r>
        <w:rPr>
          <w:sz w:val="20"/>
        </w:rPr>
        <w:t>результати не відтворюються в незалежних перезапусках.</w:t>
      </w:r>
    </w:p>
    <w:p>
      <w:pPr>
        <w:pStyle w:val="Heading2"/>
      </w:pPr>
      <w:r>
        <w:rPr>
          <w:color w:val="1A569A"/>
          <w:sz w:val="24"/>
        </w:rPr>
        <w:t>Boundaries and Responsible Framing</w:t>
      </w:r>
    </w:p>
    <w:p>
      <w:pPr>
        <w:pStyle w:val="ListBullet"/>
        <w:ind w:left="283"/>
      </w:pPr>
      <w:r>
        <w:rPr>
          <w:sz w:val="20"/>
        </w:rPr>
        <w:t>Проєкт не заявляє медичну діагностику на цьому етапі.</w:t>
      </w:r>
    </w:p>
    <w:p>
      <w:pPr>
        <w:pStyle w:val="ListBullet"/>
        <w:ind w:left="283"/>
      </w:pPr>
      <w:r>
        <w:rPr>
          <w:sz w:val="20"/>
        </w:rPr>
        <w:t>Результати позиціонуються як decision support, а не autonomous clinical judgement.</w:t>
      </w:r>
    </w:p>
    <w:p>
      <w:pPr>
        <w:pStyle w:val="ListBullet"/>
        <w:ind w:left="283"/>
      </w:pPr>
      <w:r>
        <w:rPr>
          <w:sz w:val="20"/>
        </w:rPr>
        <w:t>Невизначеність і ліміти моделі мають бути явними у всіх high-impact сценаріях.</w:t>
      </w:r>
    </w:p>
    <w:p>
      <w:pPr>
        <w:pStyle w:val="Heading2"/>
      </w:pPr>
      <w:r>
        <w:rPr>
          <w:color w:val="1A569A"/>
          <w:sz w:val="24"/>
        </w:rPr>
        <w:t>Reviewer-Facing Acceptance Criteria</w:t>
      </w:r>
    </w:p>
    <w:p>
      <w:pPr>
        <w:pStyle w:val="ListBullet"/>
        <w:ind w:left="283"/>
      </w:pPr>
      <w:r>
        <w:rPr>
          <w:sz w:val="20"/>
        </w:rPr>
        <w:t>Новизна сформульована як testable claims, а не маркетингові тези.</w:t>
      </w:r>
    </w:p>
    <w:p>
      <w:pPr>
        <w:pStyle w:val="ListBullet"/>
        <w:ind w:left="283"/>
      </w:pPr>
      <w:r>
        <w:rPr>
          <w:sz w:val="20"/>
        </w:rPr>
        <w:t>Є чітке розділення між implemented baseline і expected research contribution.</w:t>
      </w:r>
    </w:p>
    <w:p>
      <w:pPr>
        <w:pStyle w:val="ListBullet"/>
        <w:ind w:left="283"/>
      </w:pPr>
      <w:r>
        <w:rPr>
          <w:sz w:val="20"/>
        </w:rPr>
        <w:t>Для кожного claim визначено метод валідації та критерій відхилення.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03-state-of-the-art.md, 05-research-questions.md, 06-methodology.md, 12-statistics.md, 29-explainability-validation.md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