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22A5C"/>
          <w:sz w:val="40"/>
        </w:rPr>
        <w:t>Research Questions</w:t>
      </w:r>
    </w:p>
    <w:p>
      <w:pPr>
        <w:jc w:val="center"/>
      </w:pPr>
      <w:r>
        <w:rPr>
          <w:sz w:val="24"/>
        </w:rPr>
        <w:t>Grant Documentation — Dzvin.co + DIP</w:t>
      </w:r>
    </w:p>
    <w:p>
      <w:pPr>
        <w:jc w:val="center"/>
      </w:pPr>
      <w:r>
        <w:rPr>
          <w:color w:val="555555"/>
          <w:sz w:val="18"/>
        </w:rPr>
        <w:t>Dzvin.co + DIP  |  2026-08-08 | Draft</w:t>
      </w:r>
    </w:p>
    <w:p>
      <w:r>
        <w:br w:type="page"/>
      </w:r>
    </w:p>
    <w:p>
      <w:pPr>
        <w:pStyle w:val="Heading1"/>
      </w:pPr>
      <w:r>
        <w:rPr>
          <w:color w:val="222A5C"/>
          <w:sz w:val="30"/>
        </w:rPr>
        <w:t>Research Questions</w:t>
      </w:r>
    </w:p>
    <w:p>
      <w:r>
        <w:rPr>
          <w:sz w:val="20"/>
        </w:rPr>
        <w:t>Мова: Українська (default) | [English](05-research-questions.en.md)</w:t>
      </w:r>
    </w:p>
    <w:p>
      <w:pPr>
        <w:pStyle w:val="Heading2"/>
      </w:pPr>
      <w:r>
        <w:rPr>
          <w:color w:val="1A569A"/>
          <w:sz w:val="24"/>
        </w:rPr>
        <w:t>Document Metadata</w:t>
      </w:r>
    </w:p>
    <w:p>
      <w:pPr>
        <w:pStyle w:val="ListBullet"/>
        <w:ind w:left="283"/>
      </w:pPr>
      <w:r>
        <w:rPr>
          <w:sz w:val="20"/>
        </w:rPr>
        <w:t>Owner: Scientific Coordinator</w:t>
      </w:r>
    </w:p>
    <w:p>
      <w:pPr>
        <w:pStyle w:val="ListBullet"/>
        <w:ind w:left="283"/>
      </w:pPr>
      <w:r>
        <w:rPr>
          <w:sz w:val="20"/>
        </w:rPr>
        <w:t>Contributors: ML Lead, Product Research, Clinical Advisor</w:t>
      </w:r>
    </w:p>
    <w:p>
      <w:pPr>
        <w:pStyle w:val="ListBullet"/>
        <w:ind w:left="283"/>
      </w:pPr>
      <w:r>
        <w:rPr>
          <w:sz w:val="20"/>
        </w:rPr>
        <w:t>Version: 0.2</w:t>
      </w:r>
    </w:p>
    <w:p>
      <w:pPr>
        <w:pStyle w:val="ListBullet"/>
        <w:ind w:left="283"/>
      </w:pPr>
      <w:r>
        <w:rPr>
          <w:sz w:val="20"/>
        </w:rPr>
        <w:t>Last Updated: 2026-08-01</w:t>
      </w:r>
    </w:p>
    <w:p>
      <w:pPr>
        <w:pStyle w:val="ListBullet"/>
        <w:ind w:left="283"/>
      </w:pPr>
      <w:r>
        <w:rPr>
          <w:sz w:val="20"/>
        </w:rPr>
        <w:t>Status: Draft</w:t>
      </w:r>
    </w:p>
    <w:p>
      <w:pPr>
        <w:pStyle w:val="Heading2"/>
      </w:pPr>
      <w:r>
        <w:rPr>
          <w:color w:val="1A569A"/>
          <w:sz w:val="24"/>
        </w:rPr>
        <w:t>Purpose</w:t>
      </w:r>
    </w:p>
    <w:p>
      <w:r>
        <w:rPr>
          <w:sz w:val="20"/>
        </w:rPr>
        <w:t>Задати ключові RQ та гіпотези, які визначають план експериментів і критерії успіху проєкту.</w:t>
      </w:r>
    </w:p>
    <w:p>
      <w:pPr>
        <w:pStyle w:val="Heading2"/>
      </w:pPr>
      <w:r>
        <w:rPr>
          <w:color w:val="1A569A"/>
          <w:sz w:val="24"/>
        </w:rPr>
        <w:t>RQ1: Personalization Effect</w:t>
      </w:r>
    </w:p>
    <w:p>
      <w:r>
        <w:rPr>
          <w:sz w:val="20"/>
        </w:rPr>
        <w:t>Чи підвищує персоналізований adaptive baseline якість прогнозу і рішень порівняно з non-personalized baseline?</w:t>
      </w:r>
    </w:p>
    <w:p>
      <w:pPr>
        <w:pStyle w:val="ListBullet"/>
        <w:ind w:left="283"/>
      </w:pPr>
      <w:r>
        <w:rPr>
          <w:sz w:val="20"/>
        </w:rPr>
        <w:t>H1: Adaptive baseline покращує calibration і precision у high-risk сегменті.</w:t>
      </w:r>
    </w:p>
    <w:p>
      <w:pPr>
        <w:pStyle w:val="ListBullet"/>
        <w:ind w:left="283"/>
      </w:pPr>
      <w:r>
        <w:rPr>
          <w:sz w:val="20"/>
        </w:rPr>
        <w:t>Primary metrics: calibration error, precision@high-risk, segment stability.</w:t>
      </w:r>
    </w:p>
    <w:p>
      <w:pPr>
        <w:pStyle w:val="Heading2"/>
      </w:pPr>
      <w:r>
        <w:rPr>
          <w:color w:val="1A569A"/>
          <w:sz w:val="24"/>
        </w:rPr>
        <w:t>RQ2: Hybrid vs Single-Paradigm</w:t>
      </w:r>
    </w:p>
    <w:p>
      <w:r>
        <w:rPr>
          <w:sz w:val="20"/>
        </w:rPr>
        <w:t>Чи hybrid rule+ML engine працює краще за rules-only і ML-only підходи?</w:t>
      </w:r>
    </w:p>
    <w:p>
      <w:pPr>
        <w:pStyle w:val="ListBullet"/>
        <w:ind w:left="283"/>
      </w:pPr>
      <w:r>
        <w:rPr>
          <w:sz w:val="20"/>
        </w:rPr>
        <w:t>H2: Hybrid з policy governance дає кращий баланс accuracy/safety.</w:t>
      </w:r>
    </w:p>
    <w:p>
      <w:pPr>
        <w:pStyle w:val="ListBullet"/>
        <w:ind w:left="283"/>
      </w:pPr>
      <w:r>
        <w:rPr>
          <w:sz w:val="20"/>
        </w:rPr>
        <w:t>Primary metrics: AUROC/AUPRC, false alert rate, disagreement resolution quality.</w:t>
      </w:r>
    </w:p>
    <w:p>
      <w:pPr>
        <w:pStyle w:val="Heading2"/>
      </w:pPr>
      <w:r>
        <w:rPr>
          <w:color w:val="1A569A"/>
          <w:sz w:val="24"/>
        </w:rPr>
        <w:t>RQ3: Explainability Impact</w:t>
      </w:r>
    </w:p>
    <w:p>
      <w:r>
        <w:rPr>
          <w:sz w:val="20"/>
        </w:rPr>
        <w:t>Чи role-aware explainability підвищує довіру і прийняття рішень?</w:t>
      </w:r>
    </w:p>
    <w:p>
      <w:pPr>
        <w:pStyle w:val="ListBullet"/>
        <w:ind w:left="283"/>
      </w:pPr>
      <w:r>
        <w:rPr>
          <w:sz w:val="20"/>
        </w:rPr>
        <w:t>H3: Пояснення збільшують trust score і action adoption.</w:t>
      </w:r>
    </w:p>
    <w:p>
      <w:pPr>
        <w:pStyle w:val="ListBullet"/>
        <w:ind w:left="283"/>
      </w:pPr>
      <w:r>
        <w:rPr>
          <w:sz w:val="20"/>
        </w:rPr>
        <w:t>Primary metrics: trust uplift, action acceptance, comprehension scores.</w:t>
      </w:r>
    </w:p>
    <w:p>
      <w:pPr>
        <w:pStyle w:val="Heading2"/>
      </w:pPr>
      <w:r>
        <w:rPr>
          <w:color w:val="1A569A"/>
          <w:sz w:val="24"/>
        </w:rPr>
        <w:t>RQ4: Governance Robustness</w:t>
      </w:r>
    </w:p>
    <w:p>
      <w:r>
        <w:rPr>
          <w:sz w:val="20"/>
        </w:rPr>
        <w:t>Чи online policy evaluation з auto-mitigation зменшує ризик деградації у production?</w:t>
      </w:r>
    </w:p>
    <w:p>
      <w:pPr>
        <w:pStyle w:val="ListBullet"/>
        <w:ind w:left="283"/>
      </w:pPr>
      <w:r>
        <w:rPr>
          <w:sz w:val="20"/>
        </w:rPr>
        <w:t>H4: Trust-gated governance скорочує періоди degraded performance.</w:t>
      </w:r>
    </w:p>
    <w:p>
      <w:pPr>
        <w:pStyle w:val="ListBullet"/>
        <w:ind w:left="283"/>
      </w:pPr>
      <w:r>
        <w:rPr>
          <w:sz w:val="20"/>
        </w:rPr>
        <w:t>Primary metrics: degradation duration, rollback frequency, safe-mode outcomes.</w:t>
      </w:r>
    </w:p>
    <w:p>
      <w:pPr>
        <w:pStyle w:val="Heading2"/>
      </w:pPr>
      <w:r>
        <w:rPr>
          <w:color w:val="1A569A"/>
          <w:sz w:val="24"/>
        </w:rPr>
        <w:t>RQ5: Transferability Potential</w:t>
      </w:r>
    </w:p>
    <w:p>
      <w:r>
        <w:rPr>
          <w:sz w:val="20"/>
        </w:rPr>
        <w:t>Наскільки архітектурний патерн DIP переносимий у суміжні домени?</w:t>
      </w:r>
    </w:p>
    <w:p>
      <w:pPr>
        <w:pStyle w:val="ListBullet"/>
        <w:ind w:left="283"/>
      </w:pPr>
      <w:r>
        <w:rPr>
          <w:sz w:val="20"/>
        </w:rPr>
        <w:t>H5: Platform core reuse можливий з мінімальними змінами adapter layer.</w:t>
      </w:r>
    </w:p>
    <w:p>
      <w:pPr>
        <w:pStyle w:val="ListBullet"/>
        <w:ind w:left="283"/>
      </w:pPr>
      <w:r>
        <w:rPr>
          <w:sz w:val="20"/>
        </w:rPr>
        <w:t>Primary metrics: integration effort, contract reuse ratio, time-to-first-value.</w:t>
      </w:r>
    </w:p>
    <w:p>
      <w:pPr>
        <w:pStyle w:val="Heading2"/>
      </w:pPr>
      <w:r>
        <w:rPr>
          <w:color w:val="1A569A"/>
          <w:sz w:val="24"/>
        </w:rPr>
        <w:t>Prioritization</w:t>
      </w:r>
    </w:p>
    <w:p>
      <w:pPr>
        <w:pStyle w:val="ListBullet"/>
        <w:ind w:left="283"/>
      </w:pPr>
      <w:r>
        <w:rPr>
          <w:sz w:val="20"/>
        </w:rPr>
        <w:t>Primary RQ: RQ1-RQ3</w:t>
      </w:r>
    </w:p>
    <w:p>
      <w:pPr>
        <w:pStyle w:val="ListBullet"/>
        <w:ind w:left="283"/>
      </w:pPr>
      <w:r>
        <w:rPr>
          <w:sz w:val="20"/>
        </w:rPr>
        <w:t>Secondary RQ: RQ4-RQ5</w:t>
      </w:r>
    </w:p>
    <w:p>
      <w:pPr>
        <w:pStyle w:val="Heading2"/>
      </w:pPr>
      <w:r>
        <w:rPr>
          <w:color w:val="1A569A"/>
          <w:sz w:val="24"/>
        </w:rPr>
        <w:t>Decision Rules</w:t>
      </w:r>
    </w:p>
    <w:p>
      <w:pPr>
        <w:pStyle w:val="ListBullet"/>
        <w:ind w:left="283"/>
      </w:pPr>
      <w:r>
        <w:rPr>
          <w:sz w:val="20"/>
        </w:rPr>
        <w:t>Кожна H приймається/відхиляється за preregistered thresholds.</w:t>
      </w:r>
    </w:p>
    <w:p>
      <w:pPr>
        <w:pStyle w:val="ListBullet"/>
        <w:ind w:left="283"/>
      </w:pPr>
      <w:r>
        <w:rPr>
          <w:sz w:val="20"/>
        </w:rPr>
        <w:t>Невизначені результати маркуються як inconclusive, не positive.</w:t>
      </w:r>
    </w:p>
    <w:p>
      <w:pPr>
        <w:pStyle w:val="Heading2"/>
      </w:pPr>
      <w:r>
        <w:rPr>
          <w:color w:val="1A569A"/>
          <w:sz w:val="24"/>
        </w:rPr>
        <w:t>Acceptance Criteria</w:t>
      </w:r>
    </w:p>
    <w:p>
      <w:pPr>
        <w:pStyle w:val="ListBullet"/>
        <w:ind w:left="283"/>
      </w:pPr>
      <w:r>
        <w:rPr>
          <w:sz w:val="20"/>
        </w:rPr>
        <w:t>Для кожного RQ визначено метрики, тести, і stop criteria.</w:t>
      </w:r>
    </w:p>
    <w:p>
      <w:pPr>
        <w:pStyle w:val="ListBullet"/>
        <w:ind w:left="283"/>
      </w:pPr>
      <w:r>
        <w:rPr>
          <w:sz w:val="20"/>
        </w:rPr>
        <w:t>RQ покривають excellence + impact + implementation dimensions.</w:t>
      </w:r>
    </w:p>
    <w:p>
      <w:pPr>
        <w:pStyle w:val="ListBullet"/>
        <w:ind w:left="283"/>
      </w:pPr>
      <w:r>
        <w:rPr>
          <w:sz w:val="20"/>
        </w:rPr>
        <w:t>Є linkage до WP та evaluation protocol.</w:t>
      </w:r>
    </w:p>
    <w:p>
      <w:pPr>
        <w:pStyle w:val="Heading2"/>
      </w:pPr>
      <w:r>
        <w:rPr>
          <w:color w:val="1A569A"/>
          <w:sz w:val="24"/>
        </w:rPr>
        <w:t>Links</w:t>
      </w:r>
    </w:p>
    <w:p>
      <w:pPr>
        <w:pStyle w:val="ListBullet"/>
        <w:ind w:left="283"/>
      </w:pPr>
      <w:r>
        <w:rPr>
          <w:sz w:val="20"/>
        </w:rPr>
        <w:t>Related docs: 06-methodology.md, 07-experimental-design.md, 12-statistics.md, 25-evaluation.md</w:t>
      </w:r>
    </w:p>
    <w:p>
      <w:pPr>
        <w:pStyle w:val="Heading2"/>
      </w:pPr>
      <w:r>
        <w:rPr>
          <w:color w:val="1A569A"/>
          <w:sz w:val="24"/>
        </w:rPr>
        <w:t>Horizon Europe References</w:t>
      </w:r>
    </w:p>
    <w:p>
      <w:pPr>
        <w:pStyle w:val="ListBullet"/>
        <w:ind w:left="283"/>
      </w:pPr>
      <w:r>
        <w:rPr>
          <w:sz w:val="20"/>
        </w:rPr>
        <w:t>EIC Work Programme 2026: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Funding and Tenders Portal (application process): https://research-and-innovation.ec.europa.eu/funding/how-apply/application-process_en</w:t>
      </w:r>
    </w:p>
    <w:p>
      <w:pPr>
        <w:pStyle w:val="ListBullet"/>
        <w:ind w:left="283"/>
      </w:pPr>
      <w:r>
        <w:rPr>
          <w:sz w:val="20"/>
        </w:rPr>
        <w:t>EIC Pathfinder FAQ (eligibility and conditions): https://eic.ec.europa.eu/eic-frequently-asked-questions/faqs-general-conditions-and-eligibility_en</w:t>
      </w:r>
    </w:p>
    <w:p>
      <w:pPr>
        <w:pStyle w:val="ListBullet"/>
        <w:ind w:left="283"/>
      </w:pPr>
      <w:r>
        <w:rPr>
          <w:sz w:val="20"/>
        </w:rPr>
        <w:t>Evaluation Form (expert criteria): https://ec.europa.eu/info/funding-tenders/opportunities/docs/2021-2027/horizon/temp-form/ef/ef_he-eic-pathfinder-open_en.pdf</w:t>
      </w:r>
    </w:p>
    <w:p>
      <w:pPr>
        <w:pStyle w:val="ListBullet"/>
        <w:ind w:left="283"/>
      </w:pPr>
      <w:r>
        <w:rPr>
          <w:sz w:val="20"/>
        </w:rPr>
        <w:t>Advice for Applicants: https://rea.ec.europa.eu/guidance/advice-applicants_en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sz w:val="20"/>
        </w:rPr>
        <w:t>References:</w:t>
      </w:r>
    </w:p>
    <w:p>
      <w:pPr>
        <w:pStyle w:val="ListBullet"/>
        <w:ind w:left="283"/>
      </w:pPr>
      <w:r>
        <w:rPr>
          <w:sz w:val="20"/>
        </w:rPr>
        <w:t>EIC Pathfinder: https://eic.ec.europa.eu/eic-funding-opportunities/eic-pathfinder_en</w:t>
      </w:r>
    </w:p>
    <w:p>
      <w:pPr>
        <w:pStyle w:val="ListBullet"/>
        <w:ind w:left="283"/>
      </w:pPr>
      <w:r>
        <w:rPr>
          <w:sz w:val="20"/>
        </w:rPr>
        <w:t>PARP Ścieżka SMART: https://www.parp.gov.pl/harmonogram-naborow/grants/sciezka-smart</w:t>
      </w:r>
    </w:p>
    <w:sectPr w:rsidR="00FC693F" w:rsidRPr="0006063C" w:rsidSect="00034616">
      <w:pgSz w:w="12240" w:h="15840"/>
      <w:pgMar w:top="1417" w:right="1134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