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Methodology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Research Methodology</w:t>
      </w:r>
    </w:p>
    <w:p>
      <w:r>
        <w:rPr>
          <w:sz w:val="20"/>
        </w:rPr>
        <w:t>Мова: Українська (default) | [English](06-methodology.en.md)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Research Methodology Lead</w:t>
      </w:r>
    </w:p>
    <w:p>
      <w:pPr>
        <w:pStyle w:val="ListBullet"/>
        <w:ind w:left="283"/>
      </w:pPr>
      <w:r>
        <w:rPr>
          <w:sz w:val="20"/>
        </w:rPr>
        <w:t>Contributors: Scientific Coordinator, ML Lead, Product Research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 методологію дослідження для перевірки гіпотез щодо hybrid decision intelligence, explainability, personalization і operational impact.</w:t>
      </w:r>
    </w:p>
    <w:p>
      <w:pPr>
        <w:pStyle w:val="Heading2"/>
      </w:pPr>
      <w:r>
        <w:rPr>
          <w:color w:val="1A569A"/>
          <w:sz w:val="24"/>
        </w:rPr>
        <w:t>Methodological Framework</w:t>
      </w:r>
    </w:p>
    <w:p>
      <w:pPr>
        <w:pStyle w:val="ListBullet"/>
        <w:ind w:left="283"/>
      </w:pPr>
      <w:r>
        <w:rPr>
          <w:sz w:val="20"/>
        </w:rPr>
        <w:t>Quantitative longitudinal analysis.</w:t>
      </w:r>
    </w:p>
    <w:p>
      <w:pPr>
        <w:pStyle w:val="ListBullet"/>
        <w:ind w:left="283"/>
      </w:pPr>
      <w:r>
        <w:rPr>
          <w:sz w:val="20"/>
        </w:rPr>
        <w:t>Controlled online evaluation (A/B and policy variants).</w:t>
      </w:r>
    </w:p>
    <w:p>
      <w:pPr>
        <w:pStyle w:val="ListBullet"/>
        <w:ind w:left="283"/>
      </w:pPr>
      <w:r>
        <w:rPr>
          <w:sz w:val="20"/>
        </w:rPr>
        <w:t>Retrospective and prospective cohort comparisons.</w:t>
      </w:r>
    </w:p>
    <w:p>
      <w:pPr>
        <w:pStyle w:val="ListBullet"/>
        <w:ind w:left="283"/>
      </w:pPr>
      <w:r>
        <w:rPr>
          <w:sz w:val="20"/>
        </w:rPr>
        <w:t>Mixed-method user validation for explainability.</w:t>
      </w:r>
    </w:p>
    <w:p>
      <w:pPr>
        <w:pStyle w:val="Heading2"/>
      </w:pPr>
      <w:r>
        <w:rPr>
          <w:color w:val="1A569A"/>
          <w:sz w:val="24"/>
        </w:rPr>
        <w:t>Research Phases</w:t>
      </w:r>
    </w:p>
    <w:p>
      <w:r>
        <w:rPr>
          <w:sz w:val="20"/>
        </w:rPr>
        <w:t>1. Baseline characterization and data audit.</w:t>
      </w:r>
    </w:p>
    <w:p>
      <w:r>
        <w:rPr>
          <w:sz w:val="20"/>
        </w:rPr>
        <w:t>2. Hypothesis-driven experiment design.</w:t>
      </w:r>
    </w:p>
    <w:p>
      <w:r>
        <w:rPr>
          <w:sz w:val="20"/>
        </w:rPr>
        <w:t>3. Offline model/rule evaluation.</w:t>
      </w:r>
    </w:p>
    <w:p>
      <w:r>
        <w:rPr>
          <w:sz w:val="20"/>
        </w:rPr>
        <w:t>4. Online policy evaluation in controlled rollout.</w:t>
      </w:r>
    </w:p>
    <w:p>
      <w:r>
        <w:rPr>
          <w:sz w:val="20"/>
        </w:rPr>
        <w:t>5. Replication and reproducibility checks.</w:t>
      </w:r>
    </w:p>
    <w:p>
      <w:pPr>
        <w:pStyle w:val="Heading2"/>
      </w:pPr>
      <w:r>
        <w:rPr>
          <w:color w:val="1A569A"/>
          <w:sz w:val="24"/>
        </w:rPr>
        <w:t>Unit of Analysis</w:t>
      </w:r>
    </w:p>
    <w:p>
      <w:pPr>
        <w:pStyle w:val="ListBullet"/>
        <w:ind w:left="283"/>
      </w:pPr>
      <w:r>
        <w:rPr>
          <w:sz w:val="20"/>
        </w:rPr>
        <w:t>Individual-level trajectories (privacy-preserving context).</w:t>
      </w:r>
    </w:p>
    <w:p>
      <w:pPr>
        <w:pStyle w:val="ListBullet"/>
        <w:ind w:left="283"/>
      </w:pPr>
      <w:r>
        <w:rPr>
          <w:sz w:val="20"/>
        </w:rPr>
        <w:t>Team-level aggregates.</w:t>
      </w:r>
    </w:p>
    <w:p>
      <w:pPr>
        <w:pStyle w:val="ListBullet"/>
        <w:ind w:left="283"/>
      </w:pPr>
      <w:r>
        <w:rPr>
          <w:sz w:val="20"/>
        </w:rPr>
        <w:t>Company-level decision outcomes.</w:t>
      </w:r>
    </w:p>
    <w:p>
      <w:pPr>
        <w:pStyle w:val="Heading2"/>
      </w:pPr>
      <w:r>
        <w:rPr>
          <w:color w:val="1A569A"/>
          <w:sz w:val="24"/>
        </w:rPr>
        <w:t>Causal and Non-Causal Claims Policy</w:t>
      </w:r>
    </w:p>
    <w:p>
      <w:pPr>
        <w:pStyle w:val="ListBullet"/>
        <w:ind w:left="283"/>
      </w:pPr>
      <w:r>
        <w:rPr>
          <w:sz w:val="20"/>
        </w:rPr>
        <w:t>Correlation and predictive utility claims allowed with clear caveats.</w:t>
      </w:r>
    </w:p>
    <w:p>
      <w:pPr>
        <w:pStyle w:val="ListBullet"/>
        <w:ind w:left="283"/>
      </w:pPr>
      <w:r>
        <w:rPr>
          <w:sz w:val="20"/>
        </w:rPr>
        <w:t>Causal claims only where design supports it.</w:t>
      </w:r>
    </w:p>
    <w:p>
      <w:pPr>
        <w:pStyle w:val="ListBullet"/>
        <w:ind w:left="283"/>
      </w:pPr>
      <w:r>
        <w:rPr>
          <w:sz w:val="20"/>
        </w:rPr>
        <w:t>Clinical claims out of scope at this stage.</w:t>
      </w:r>
    </w:p>
    <w:p>
      <w:pPr>
        <w:pStyle w:val="Heading2"/>
      </w:pPr>
      <w:r>
        <w:rPr>
          <w:color w:val="1A569A"/>
          <w:sz w:val="24"/>
        </w:rPr>
        <w:t>Validity Strategy</w:t>
      </w:r>
    </w:p>
    <w:p>
      <w:pPr>
        <w:pStyle w:val="ListBullet"/>
        <w:ind w:left="283"/>
      </w:pPr>
      <w:r>
        <w:rPr>
          <w:sz w:val="20"/>
        </w:rPr>
        <w:t>Internal validity: strict temporal splits, leakage controls.</w:t>
      </w:r>
    </w:p>
    <w:p>
      <w:pPr>
        <w:pStyle w:val="ListBullet"/>
        <w:ind w:left="283"/>
      </w:pPr>
      <w:r>
        <w:rPr>
          <w:sz w:val="20"/>
        </w:rPr>
        <w:t>External validity: segment-based robustness checks.</w:t>
      </w:r>
    </w:p>
    <w:p>
      <w:pPr>
        <w:pStyle w:val="ListBullet"/>
        <w:ind w:left="283"/>
      </w:pPr>
      <w:r>
        <w:rPr>
          <w:sz w:val="20"/>
        </w:rPr>
        <w:t>Construct validity: alignment of labels with business/clinical meaning.</w:t>
      </w:r>
    </w:p>
    <w:p>
      <w:pPr>
        <w:pStyle w:val="Heading2"/>
      </w:pPr>
      <w:r>
        <w:rPr>
          <w:color w:val="1A569A"/>
          <w:sz w:val="24"/>
        </w:rPr>
        <w:t>Statistical Strategy (High Level)</w:t>
      </w:r>
    </w:p>
    <w:p>
      <w:pPr>
        <w:pStyle w:val="ListBullet"/>
        <w:ind w:left="283"/>
      </w:pPr>
      <w:r>
        <w:rPr>
          <w:sz w:val="20"/>
        </w:rPr>
        <w:t>Effect size reporting alongside p-values.</w:t>
      </w:r>
    </w:p>
    <w:p>
      <w:pPr>
        <w:pStyle w:val="ListBullet"/>
        <w:ind w:left="283"/>
      </w:pPr>
      <w:r>
        <w:rPr>
          <w:sz w:val="20"/>
        </w:rPr>
        <w:t>Confidence intervals for key metrics.</w:t>
      </w:r>
    </w:p>
    <w:p>
      <w:pPr>
        <w:pStyle w:val="ListBullet"/>
        <w:ind w:left="283"/>
      </w:pPr>
      <w:r>
        <w:rPr>
          <w:sz w:val="20"/>
        </w:rPr>
        <w:t>Bootstrap where distributional assumptions are weak.</w:t>
      </w:r>
    </w:p>
    <w:p>
      <w:pPr>
        <w:pStyle w:val="ListBullet"/>
        <w:ind w:left="283"/>
      </w:pPr>
      <w:r>
        <w:rPr>
          <w:sz w:val="20"/>
        </w:rPr>
        <w:t>Multiple-comparison controls where needed.</w:t>
      </w:r>
    </w:p>
    <w:p>
      <w:pPr>
        <w:pStyle w:val="Heading2"/>
      </w:pPr>
      <w:r>
        <w:rPr>
          <w:color w:val="1A569A"/>
          <w:sz w:val="24"/>
        </w:rPr>
        <w:t>Bias and Fairness Strategy</w:t>
      </w:r>
    </w:p>
    <w:p>
      <w:pPr>
        <w:pStyle w:val="ListBullet"/>
        <w:ind w:left="283"/>
      </w:pPr>
      <w:r>
        <w:rPr>
          <w:sz w:val="20"/>
        </w:rPr>
        <w:t>Representation and performance parity checks.</w:t>
      </w:r>
    </w:p>
    <w:p>
      <w:pPr>
        <w:pStyle w:val="ListBullet"/>
        <w:ind w:left="283"/>
      </w:pPr>
      <w:r>
        <w:rPr>
          <w:sz w:val="20"/>
        </w:rPr>
        <w:t>Monitoring disparate error rates.</w:t>
      </w:r>
    </w:p>
    <w:p>
      <w:pPr>
        <w:pStyle w:val="ListBullet"/>
        <w:ind w:left="283"/>
      </w:pPr>
      <w:r>
        <w:rPr>
          <w:sz w:val="20"/>
        </w:rPr>
        <w:t>Mitigation through feature/policy adjustments.</w:t>
      </w:r>
    </w:p>
    <w:p>
      <w:pPr>
        <w:pStyle w:val="Heading2"/>
      </w:pPr>
      <w:r>
        <w:rPr>
          <w:color w:val="1A569A"/>
          <w:sz w:val="24"/>
        </w:rPr>
        <w:t>Ethics and Safety Integration</w:t>
      </w:r>
    </w:p>
    <w:p>
      <w:pPr>
        <w:pStyle w:val="ListBullet"/>
        <w:ind w:left="283"/>
      </w:pPr>
      <w:r>
        <w:rPr>
          <w:sz w:val="20"/>
        </w:rPr>
        <w:t>Role-based explanation exposure.</w:t>
      </w:r>
    </w:p>
    <w:p>
      <w:pPr>
        <w:pStyle w:val="ListBullet"/>
        <w:ind w:left="283"/>
      </w:pPr>
      <w:r>
        <w:rPr>
          <w:sz w:val="20"/>
        </w:rPr>
        <w:t>Human-in-the-loop for high-risk/low-confidence outcomes.</w:t>
      </w:r>
    </w:p>
    <w:p>
      <w:pPr>
        <w:pStyle w:val="ListBullet"/>
        <w:ind w:left="283"/>
      </w:pPr>
      <w:r>
        <w:rPr>
          <w:sz w:val="20"/>
        </w:rPr>
        <w:t>Incident logging and escalation procedures.</w:t>
      </w:r>
    </w:p>
    <w:p>
      <w:pPr>
        <w:pStyle w:val="Heading2"/>
      </w:pPr>
      <w:r>
        <w:rPr>
          <w:color w:val="1A569A"/>
          <w:sz w:val="24"/>
        </w:rPr>
        <w:t>Reproducibility Requirements</w:t>
      </w:r>
    </w:p>
    <w:p>
      <w:pPr>
        <w:pStyle w:val="ListBullet"/>
        <w:ind w:left="283"/>
      </w:pPr>
      <w:r>
        <w:rPr>
          <w:sz w:val="20"/>
        </w:rPr>
        <w:t>Versioned datasets/features/models/policies.</w:t>
      </w:r>
    </w:p>
    <w:p>
      <w:pPr>
        <w:pStyle w:val="ListBullet"/>
        <w:ind w:left="283"/>
      </w:pPr>
      <w:r>
        <w:rPr>
          <w:sz w:val="20"/>
        </w:rPr>
        <w:t>Fixed random seeds where applicable.</w:t>
      </w:r>
    </w:p>
    <w:p>
      <w:pPr>
        <w:pStyle w:val="ListBullet"/>
        <w:ind w:left="283"/>
      </w:pPr>
      <w:r>
        <w:rPr>
          <w:sz w:val="20"/>
        </w:rPr>
        <w:t>Experiment manifests and immutable run logs.</w:t>
      </w:r>
    </w:p>
    <w:p>
      <w:pPr>
        <w:pStyle w:val="Heading2"/>
      </w:pPr>
      <w:r>
        <w:rPr>
          <w:color w:val="1A569A"/>
          <w:sz w:val="24"/>
        </w:rPr>
        <w:t>Evidence Outputs</w:t>
      </w:r>
    </w:p>
    <w:p>
      <w:pPr>
        <w:pStyle w:val="ListBullet"/>
        <w:ind w:left="283"/>
      </w:pPr>
      <w:r>
        <w:rPr>
          <w:sz w:val="20"/>
        </w:rPr>
        <w:t>Experiment reports.</w:t>
      </w:r>
    </w:p>
    <w:p>
      <w:pPr>
        <w:pStyle w:val="ListBullet"/>
        <w:ind w:left="283"/>
      </w:pPr>
      <w:r>
        <w:rPr>
          <w:sz w:val="20"/>
        </w:rPr>
        <w:t>Policy performance dashboards.</w:t>
      </w:r>
    </w:p>
    <w:p>
      <w:pPr>
        <w:pStyle w:val="ListBullet"/>
        <w:ind w:left="283"/>
      </w:pPr>
      <w:r>
        <w:rPr>
          <w:sz w:val="20"/>
        </w:rPr>
        <w:t>Bias and safety reports.</w:t>
      </w:r>
    </w:p>
    <w:p>
      <w:pPr>
        <w:pStyle w:val="ListBullet"/>
        <w:ind w:left="283"/>
      </w:pPr>
      <w:r>
        <w:rPr>
          <w:sz w:val="20"/>
        </w:rPr>
        <w:t>Decision trace audits.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Кожне RQ має відповідний метод і метрику перевірки.</w:t>
      </w:r>
    </w:p>
    <w:p>
      <w:pPr>
        <w:pStyle w:val="ListBullet"/>
        <w:ind w:left="283"/>
      </w:pPr>
      <w:r>
        <w:rPr>
          <w:sz w:val="20"/>
        </w:rPr>
        <w:t>Є чітке розділення exploratory vs confirmatory analyses.</w:t>
      </w:r>
    </w:p>
    <w:p>
      <w:pPr>
        <w:pStyle w:val="ListBullet"/>
        <w:ind w:left="283"/>
      </w:pPr>
      <w:r>
        <w:rPr>
          <w:sz w:val="20"/>
        </w:rPr>
        <w:t>Методологія підтримує reviewer-level auditability.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07-experimental-design.md, 12-statistics.md, 25-evaluation.md, 30-reproducibility.md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