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Experimental Design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Experimental Design</w:t>
      </w:r>
    </w:p>
    <w:p>
      <w:r>
        <w:rPr>
          <w:sz w:val="20"/>
        </w:rPr>
        <w:t>Мова: Українська (default) | [English](07-experimental-design.en.md)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Experimentation Lead</w:t>
      </w:r>
    </w:p>
    <w:p>
      <w:pPr>
        <w:pStyle w:val="ListBullet"/>
        <w:ind w:left="283"/>
      </w:pPr>
      <w:r>
        <w:rPr>
          <w:sz w:val="20"/>
        </w:rPr>
        <w:t>Contributors: ML Team, Research Ops, Product Analytics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експериментальний дизайн для перевірки RQ щодо якості рішень, персоналізації, explainability та policy governance.</w:t>
      </w:r>
    </w:p>
    <w:p>
      <w:pPr>
        <w:pStyle w:val="Heading2"/>
      </w:pPr>
      <w:r>
        <w:rPr>
          <w:color w:val="1A569A"/>
          <w:sz w:val="24"/>
        </w:rPr>
        <w:t>Canonical Flow</w:t>
      </w:r>
    </w:p>
    <w:p>
      <w:r>
        <w:rPr>
          <w:sz w:val="20"/>
        </w:rPr>
        <w:t>Participants / Cohorts</w:t>
      </w:r>
    </w:p>
    <w:p>
      <w:r>
        <w:rPr>
          <w:sz w:val="20"/>
        </w:rPr>
        <w:t>-&gt; Data Collection</w:t>
      </w:r>
    </w:p>
    <w:p>
      <w:r>
        <w:rPr>
          <w:sz w:val="20"/>
        </w:rPr>
        <w:t>-&gt; Feature Engineering</w:t>
      </w:r>
    </w:p>
    <w:p>
      <w:r>
        <w:rPr>
          <w:sz w:val="20"/>
        </w:rPr>
        <w:t>-&gt; Model/Rule Execution</w:t>
      </w:r>
    </w:p>
    <w:p>
      <w:r>
        <w:rPr>
          <w:sz w:val="20"/>
        </w:rPr>
        <w:t>-&gt; Evaluation</w:t>
      </w:r>
    </w:p>
    <w:p>
      <w:r>
        <w:rPr>
          <w:sz w:val="20"/>
        </w:rPr>
        <w:t>-&gt; Comparison</w:t>
      </w:r>
    </w:p>
    <w:p>
      <w:r>
        <w:rPr>
          <w:sz w:val="20"/>
        </w:rPr>
        <w:t>-&gt; Publication / Internal Report</w:t>
      </w:r>
    </w:p>
    <w:p>
      <w:pPr>
        <w:pStyle w:val="Heading2"/>
      </w:pPr>
      <w:r>
        <w:rPr>
          <w:color w:val="1A569A"/>
          <w:sz w:val="24"/>
        </w:rPr>
        <w:t>Experiment Types</w:t>
      </w:r>
    </w:p>
    <w:p>
      <w:pPr>
        <w:pStyle w:val="ListBullet"/>
        <w:ind w:left="283"/>
      </w:pPr>
      <w:r>
        <w:rPr>
          <w:sz w:val="20"/>
        </w:rPr>
        <w:t>Offline ablation (rules-only vs ML-only vs hybrid).</w:t>
      </w:r>
    </w:p>
    <w:p>
      <w:pPr>
        <w:pStyle w:val="ListBullet"/>
        <w:ind w:left="283"/>
      </w:pPr>
      <w:r>
        <w:rPr>
          <w:sz w:val="20"/>
        </w:rPr>
        <w:t>Policy A/B for runtime decision strategies.</w:t>
      </w:r>
    </w:p>
    <w:p>
      <w:pPr>
        <w:pStyle w:val="ListBullet"/>
        <w:ind w:left="283"/>
      </w:pPr>
      <w:r>
        <w:rPr>
          <w:sz w:val="20"/>
        </w:rPr>
        <w:t>Explainability UX experiments.</w:t>
      </w:r>
    </w:p>
    <w:p>
      <w:pPr>
        <w:pStyle w:val="ListBullet"/>
        <w:ind w:left="283"/>
      </w:pPr>
      <w:r>
        <w:rPr>
          <w:sz w:val="20"/>
        </w:rPr>
        <w:t>Segment robustness experiments.</w:t>
      </w:r>
    </w:p>
    <w:p>
      <w:pPr>
        <w:pStyle w:val="Heading2"/>
      </w:pPr>
      <w:r>
        <w:rPr>
          <w:color w:val="1A569A"/>
          <w:sz w:val="24"/>
        </w:rPr>
        <w:t>Cohort Definition</w:t>
      </w:r>
    </w:p>
    <w:p>
      <w:pPr>
        <w:pStyle w:val="ListBullet"/>
        <w:ind w:left="283"/>
      </w:pPr>
      <w:r>
        <w:rPr>
          <w:sz w:val="20"/>
        </w:rPr>
        <w:t>Company-level cohorts by size/industry.</w:t>
      </w:r>
    </w:p>
    <w:p>
      <w:pPr>
        <w:pStyle w:val="ListBullet"/>
        <w:ind w:left="283"/>
      </w:pPr>
      <w:r>
        <w:rPr>
          <w:sz w:val="20"/>
        </w:rPr>
        <w:t>Team-level cohorts by engagement and volatility.</w:t>
      </w:r>
    </w:p>
    <w:p>
      <w:pPr>
        <w:pStyle w:val="ListBullet"/>
        <w:ind w:left="283"/>
      </w:pPr>
      <w:r>
        <w:rPr>
          <w:sz w:val="20"/>
        </w:rPr>
        <w:t>Individual cohorts by activity and baseline stability.</w:t>
      </w:r>
    </w:p>
    <w:p>
      <w:pPr>
        <w:pStyle w:val="Heading2"/>
      </w:pPr>
      <w:r>
        <w:rPr>
          <w:color w:val="1A569A"/>
          <w:sz w:val="24"/>
        </w:rPr>
        <w:t>Randomization Strategy</w:t>
      </w:r>
    </w:p>
    <w:p>
      <w:pPr>
        <w:pStyle w:val="ListBullet"/>
        <w:ind w:left="283"/>
      </w:pPr>
      <w:r>
        <w:rPr>
          <w:sz w:val="20"/>
        </w:rPr>
        <w:t>Fingerprint-based routing for policy variants.</w:t>
      </w:r>
    </w:p>
    <w:p>
      <w:pPr>
        <w:pStyle w:val="ListBullet"/>
        <w:ind w:left="283"/>
      </w:pPr>
      <w:r>
        <w:rPr>
          <w:sz w:val="20"/>
        </w:rPr>
        <w:t>Stratified allocation for key cohorts.</w:t>
      </w:r>
    </w:p>
    <w:p>
      <w:pPr>
        <w:pStyle w:val="ListBullet"/>
        <w:ind w:left="283"/>
      </w:pPr>
      <w:r>
        <w:rPr>
          <w:sz w:val="20"/>
        </w:rPr>
        <w:t>Guardrails for high-risk populations.</w:t>
      </w:r>
    </w:p>
    <w:p>
      <w:pPr>
        <w:pStyle w:val="Heading2"/>
      </w:pPr>
      <w:r>
        <w:rPr>
          <w:color w:val="1A569A"/>
          <w:sz w:val="24"/>
        </w:rPr>
        <w:t>Time Windows</w:t>
      </w:r>
    </w:p>
    <w:p>
      <w:pPr>
        <w:pStyle w:val="ListBullet"/>
        <w:ind w:left="283"/>
      </w:pPr>
      <w:r>
        <w:rPr>
          <w:sz w:val="20"/>
        </w:rPr>
        <w:t>Observation window: historical baseline.</w:t>
      </w:r>
    </w:p>
    <w:p>
      <w:pPr>
        <w:pStyle w:val="ListBullet"/>
        <w:ind w:left="283"/>
      </w:pPr>
      <w:r>
        <w:rPr>
          <w:sz w:val="20"/>
        </w:rPr>
        <w:t>Evaluation window: fixed post-decision horizon.</w:t>
      </w:r>
    </w:p>
    <w:p>
      <w:pPr>
        <w:pStyle w:val="ListBullet"/>
        <w:ind w:left="283"/>
      </w:pPr>
      <w:r>
        <w:rPr>
          <w:sz w:val="20"/>
        </w:rPr>
        <w:t>Drift monitoring window: rolling intervals.</w:t>
      </w:r>
    </w:p>
    <w:p>
      <w:pPr>
        <w:pStyle w:val="Heading2"/>
      </w:pPr>
      <w:r>
        <w:rPr>
          <w:color w:val="1A569A"/>
          <w:sz w:val="24"/>
        </w:rPr>
        <w:t>Controls</w:t>
      </w:r>
    </w:p>
    <w:p>
      <w:pPr>
        <w:pStyle w:val="ListBullet"/>
        <w:ind w:left="283"/>
      </w:pPr>
      <w:r>
        <w:rPr>
          <w:sz w:val="20"/>
        </w:rPr>
        <w:t>Holdout groups where ethically acceptable.</w:t>
      </w:r>
    </w:p>
    <w:p>
      <w:pPr>
        <w:pStyle w:val="ListBullet"/>
        <w:ind w:left="283"/>
      </w:pPr>
      <w:r>
        <w:rPr>
          <w:sz w:val="20"/>
        </w:rPr>
        <w:t>Frozen baseline policy for comparison.</w:t>
      </w:r>
    </w:p>
    <w:p>
      <w:pPr>
        <w:pStyle w:val="ListBullet"/>
        <w:ind w:left="283"/>
      </w:pPr>
      <w:r>
        <w:rPr>
          <w:sz w:val="20"/>
        </w:rPr>
        <w:t>Version-locked feature/model sets.</w:t>
      </w:r>
    </w:p>
    <w:p>
      <w:pPr>
        <w:pStyle w:val="Heading2"/>
      </w:pPr>
      <w:r>
        <w:rPr>
          <w:color w:val="1A569A"/>
          <w:sz w:val="24"/>
        </w:rPr>
        <w:t>Primary Outcomes</w:t>
      </w:r>
    </w:p>
    <w:p>
      <w:pPr>
        <w:pStyle w:val="ListBullet"/>
        <w:ind w:left="283"/>
      </w:pPr>
      <w:r>
        <w:rPr>
          <w:sz w:val="20"/>
        </w:rPr>
        <w:t>Decision accuracy proxy.</w:t>
      </w:r>
    </w:p>
    <w:p>
      <w:pPr>
        <w:pStyle w:val="ListBullet"/>
        <w:ind w:left="283"/>
      </w:pPr>
      <w:r>
        <w:rPr>
          <w:sz w:val="20"/>
        </w:rPr>
        <w:t>Action precision for high-risk cohorts.</w:t>
      </w:r>
    </w:p>
    <w:p>
      <w:pPr>
        <w:pStyle w:val="ListBullet"/>
        <w:ind w:left="283"/>
      </w:pPr>
      <w:r>
        <w:rPr>
          <w:sz w:val="20"/>
        </w:rPr>
        <w:t>Trust and adoption impact for explained vs unexplained outputs.</w:t>
      </w:r>
    </w:p>
    <w:p>
      <w:pPr>
        <w:pStyle w:val="Heading2"/>
      </w:pPr>
      <w:r>
        <w:rPr>
          <w:color w:val="1A569A"/>
          <w:sz w:val="24"/>
        </w:rPr>
        <w:t>Secondary Outcomes</w:t>
      </w:r>
    </w:p>
    <w:p>
      <w:pPr>
        <w:pStyle w:val="ListBullet"/>
        <w:ind w:left="283"/>
      </w:pPr>
      <w:r>
        <w:rPr>
          <w:sz w:val="20"/>
        </w:rPr>
        <w:t>Latency and operational overhead.</w:t>
      </w:r>
    </w:p>
    <w:p>
      <w:pPr>
        <w:pStyle w:val="ListBullet"/>
        <w:ind w:left="283"/>
      </w:pPr>
      <w:r>
        <w:rPr>
          <w:sz w:val="20"/>
        </w:rPr>
        <w:t>Alert fatigue indicators.</w:t>
      </w:r>
    </w:p>
    <w:p>
      <w:pPr>
        <w:pStyle w:val="ListBullet"/>
        <w:ind w:left="283"/>
      </w:pPr>
      <w:r>
        <w:rPr>
          <w:sz w:val="20"/>
        </w:rPr>
        <w:t>Stability under distribution shift.</w:t>
      </w:r>
    </w:p>
    <w:p>
      <w:pPr>
        <w:pStyle w:val="Heading2"/>
      </w:pPr>
      <w:r>
        <w:rPr>
          <w:color w:val="1A569A"/>
          <w:sz w:val="24"/>
        </w:rPr>
        <w:t>Threats to Validity</w:t>
      </w:r>
    </w:p>
    <w:p>
      <w:pPr>
        <w:pStyle w:val="ListBullet"/>
        <w:ind w:left="283"/>
      </w:pPr>
      <w:r>
        <w:rPr>
          <w:sz w:val="20"/>
        </w:rPr>
        <w:t>Selection bias in participation.</w:t>
      </w:r>
    </w:p>
    <w:p>
      <w:pPr>
        <w:pStyle w:val="ListBullet"/>
        <w:ind w:left="283"/>
      </w:pPr>
      <w:r>
        <w:rPr>
          <w:sz w:val="20"/>
        </w:rPr>
        <w:t>Non-stationary behavior patterns.</w:t>
      </w:r>
    </w:p>
    <w:p>
      <w:pPr>
        <w:pStyle w:val="ListBullet"/>
        <w:ind w:left="283"/>
      </w:pPr>
      <w:r>
        <w:rPr>
          <w:sz w:val="20"/>
        </w:rPr>
        <w:t>Contamination between cohorts.</w:t>
      </w:r>
    </w:p>
    <w:p>
      <w:pPr>
        <w:pStyle w:val="Heading2"/>
      </w:pPr>
      <w:r>
        <w:rPr>
          <w:color w:val="1A569A"/>
          <w:sz w:val="24"/>
        </w:rPr>
        <w:t>Mitigation</w:t>
      </w:r>
    </w:p>
    <w:p>
      <w:pPr>
        <w:pStyle w:val="ListBullet"/>
        <w:ind w:left="283"/>
      </w:pPr>
      <w:r>
        <w:rPr>
          <w:sz w:val="20"/>
        </w:rPr>
        <w:t>Stratification + reweighting.</w:t>
      </w:r>
    </w:p>
    <w:p>
      <w:pPr>
        <w:pStyle w:val="ListBullet"/>
        <w:ind w:left="283"/>
      </w:pPr>
      <w:r>
        <w:rPr>
          <w:sz w:val="20"/>
        </w:rPr>
        <w:t>Sensitivity analyses.</w:t>
      </w:r>
    </w:p>
    <w:p>
      <w:pPr>
        <w:pStyle w:val="ListBullet"/>
        <w:ind w:left="283"/>
      </w:pPr>
      <w:r>
        <w:rPr>
          <w:sz w:val="20"/>
        </w:rPr>
        <w:t>Protocol deviations log.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Кожен експеримент має preregistered hypothesis.</w:t>
      </w:r>
    </w:p>
    <w:p>
      <w:pPr>
        <w:pStyle w:val="ListBullet"/>
        <w:ind w:left="283"/>
      </w:pPr>
      <w:r>
        <w:rPr>
          <w:sz w:val="20"/>
        </w:rPr>
        <w:t>Є визначені success/failure thresholds.</w:t>
      </w:r>
    </w:p>
    <w:p>
      <w:pPr>
        <w:pStyle w:val="ListBullet"/>
        <w:ind w:left="283"/>
      </w:pPr>
      <w:r>
        <w:rPr>
          <w:sz w:val="20"/>
        </w:rPr>
        <w:t>Результати можна повторити за протоколом.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05-research-questions.md, 06-methodology.md, 25-evaluation.md, 30-reproducibility.md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