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Dataset Specification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Dataset Specification</w:t>
      </w:r>
    </w:p>
    <w:p>
      <w:r>
        <w:rPr>
          <w:sz w:val="20"/>
        </w:rPr>
        <w:t>Мова: Українська (default) | [English](08-dataset-specification.en.md)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Data Governance Lead</w:t>
      </w:r>
    </w:p>
    <w:p>
      <w:pPr>
        <w:pStyle w:val="ListBullet"/>
        <w:ind w:left="283"/>
      </w:pPr>
      <w:r>
        <w:rPr>
          <w:sz w:val="20"/>
        </w:rPr>
        <w:t>Contributors: Research Ops, Backend, Privacy Officer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 набори даних для R&amp;D та production decision support у Dzvin.co + DIP, їх походження, структуру і обмеження.</w:t>
      </w:r>
    </w:p>
    <w:p>
      <w:pPr>
        <w:pStyle w:val="Heading2"/>
      </w:pPr>
      <w:r>
        <w:rPr>
          <w:color w:val="1A569A"/>
          <w:sz w:val="24"/>
        </w:rPr>
        <w:t>Dataset Families</w:t>
      </w:r>
    </w:p>
    <w:p>
      <w:pPr>
        <w:pStyle w:val="ListBullet"/>
        <w:ind w:left="283"/>
      </w:pPr>
      <w:r>
        <w:rPr>
          <w:sz w:val="20"/>
        </w:rPr>
        <w:t>User self-report events: mood, stress, energy, focus check-ins.</w:t>
      </w:r>
    </w:p>
    <w:p>
      <w:pPr>
        <w:pStyle w:val="ListBullet"/>
        <w:ind w:left="283"/>
      </w:pPr>
      <w:r>
        <w:rPr>
          <w:sz w:val="20"/>
        </w:rPr>
        <w:t>Journal and story-derived signals: текстові індикатори (за політикою доступу).</w:t>
      </w:r>
    </w:p>
    <w:p>
      <w:pPr>
        <w:pStyle w:val="ListBullet"/>
        <w:ind w:left="283"/>
      </w:pPr>
      <w:r>
        <w:rPr>
          <w:sz w:val="20"/>
        </w:rPr>
        <w:t>Psychometric assessments: PHQ-9, GAD-7, PSS-4, K10.</w:t>
      </w:r>
    </w:p>
    <w:p>
      <w:pPr>
        <w:pStyle w:val="ListBullet"/>
        <w:ind w:left="283"/>
      </w:pPr>
      <w:r>
        <w:rPr>
          <w:sz w:val="20"/>
        </w:rPr>
        <w:t>Engagement/activity events: frequency, streaks, completion patterns.</w:t>
      </w:r>
    </w:p>
    <w:p>
      <w:pPr>
        <w:pStyle w:val="ListBullet"/>
        <w:ind w:left="283"/>
      </w:pPr>
      <w:r>
        <w:rPr>
          <w:sz w:val="20"/>
        </w:rPr>
        <w:t>Organization-level aggregates: team/company risk and participation metrics.</w:t>
      </w:r>
    </w:p>
    <w:p>
      <w:pPr>
        <w:pStyle w:val="ListBullet"/>
        <w:ind w:left="283"/>
      </w:pPr>
      <w:r>
        <w:rPr>
          <w:sz w:val="20"/>
        </w:rPr>
        <w:t>Decision artifacts: risk events, action recommendations, policy traces.</w:t>
      </w:r>
    </w:p>
    <w:p>
      <w:pPr>
        <w:pStyle w:val="Heading2"/>
      </w:pPr>
      <w:r>
        <w:rPr>
          <w:color w:val="1A569A"/>
          <w:sz w:val="24"/>
        </w:rPr>
        <w:t>Psychometric Instruments — Scientific Justification</w:t>
      </w:r>
    </w:p>
    <w:p>
      <w:r>
        <w:rPr>
          <w:sz w:val="20"/>
        </w:rPr>
        <w:t>Вибір шкал обґрунтований валідованими клінічними інструментами:</w:t>
      </w:r>
    </w:p>
    <w:p>
      <w:r>
        <w:rPr>
          <w:rFonts w:ascii="Courier New" w:hAnsi="Courier New"/>
          <w:sz w:val="20"/>
        </w:rPr>
        <w:t>| Instrument | Що вимірює                          | Наукова основа                                                   |</w:t>
      </w:r>
    </w:p>
    <w:p>
      <w:r>
        <w:rPr>
          <w:rFonts w:ascii="Courier New" w:hAnsi="Courier New"/>
          <w:sz w:val="20"/>
        </w:rPr>
        <w:t>| ---------- | ----------------------------------- | ---------------------------------------------------------------- |</w:t>
      </w:r>
    </w:p>
    <w:p>
      <w:r>
        <w:rPr>
          <w:rFonts w:ascii="Courier New" w:hAnsi="Courier New"/>
          <w:sz w:val="20"/>
        </w:rPr>
        <w:t>| PHQ-9      | Депресивна симптоматика (9 пунктів) | Kroenke et al., 2001; широко валідований скринінговий інструмент |</w:t>
      </w:r>
    </w:p>
    <w:p>
      <w:r>
        <w:rPr>
          <w:rFonts w:ascii="Courier New" w:hAnsi="Courier New"/>
          <w:sz w:val="20"/>
        </w:rPr>
        <w:t>| GAD-7      | Генералізована тривога (7 пунктів)  | Spitzer et al., 2006; стандарт для anxiety screening             |</w:t>
      </w:r>
    </w:p>
    <w:p>
      <w:r>
        <w:rPr>
          <w:rFonts w:ascii="Courier New" w:hAnsi="Courier New"/>
          <w:sz w:val="20"/>
        </w:rPr>
        <w:t>| PSS-4      | Сприйнятий стрес (коротка форма)    | Cohen et al., 1983; валідована коротка шкала стресу              |</w:t>
      </w:r>
    </w:p>
    <w:p>
      <w:r>
        <w:rPr>
          <w:rFonts w:ascii="Courier New" w:hAnsi="Courier New"/>
          <w:sz w:val="20"/>
        </w:rPr>
        <w:t>| K10        | Загальний психологічний дистрес     | Kessler et al., 2002; population-level distress screening        |</w:t>
      </w:r>
    </w:p>
    <w:p>
      <w:r>
        <w:rPr>
          <w:sz w:val="20"/>
        </w:rPr>
        <w:t xml:space="preserve">Примітка: інструменти використовуються як </w:t>
      </w:r>
      <w:r>
        <w:rPr>
          <w:b/>
          <w:sz w:val="20"/>
        </w:rPr>
        <w:t>screening / signal</w:t>
      </w:r>
      <w:r>
        <w:rPr>
          <w:sz w:val="20"/>
        </w:rPr>
        <w:t>, не як діагноз. Клінічна інтерпретація потребує людського нагляду (див. 27-clinical-validation.md).</w:t>
      </w:r>
    </w:p>
    <w:p>
      <w:pPr>
        <w:pStyle w:val="Heading2"/>
      </w:pPr>
      <w:r>
        <w:rPr>
          <w:color w:val="1A569A"/>
          <w:sz w:val="24"/>
        </w:rPr>
        <w:t>Collection Frequency and Time-Series Structure</w:t>
      </w:r>
    </w:p>
    <w:p>
      <w:pPr>
        <w:pStyle w:val="ListBullet"/>
        <w:ind w:left="283"/>
      </w:pPr>
      <w:r>
        <w:rPr>
          <w:sz w:val="20"/>
        </w:rPr>
        <w:t>Daily check-in: mood/stress/energy/focus (щоденна каденція, опційна).</w:t>
      </w:r>
    </w:p>
    <w:p>
      <w:pPr>
        <w:pStyle w:val="ListBullet"/>
        <w:ind w:left="283"/>
      </w:pPr>
      <w:r>
        <w:rPr>
          <w:sz w:val="20"/>
        </w:rPr>
        <w:t>Psychometric assessments: періодично (тижнева/місячна каденція за конфігурацією).</w:t>
      </w:r>
    </w:p>
    <w:p>
      <w:pPr>
        <w:pStyle w:val="ListBullet"/>
        <w:ind w:left="283"/>
      </w:pPr>
      <w:r>
        <w:rPr>
          <w:sz w:val="20"/>
        </w:rPr>
        <w:t>Rolling windows: 7-денне та 14-денне ковзні середні; 30-денний baseline window.</w:t>
      </w:r>
    </w:p>
    <w:p>
      <w:pPr>
        <w:pStyle w:val="ListBullet"/>
        <w:ind w:left="283"/>
      </w:pPr>
      <w:r>
        <w:rPr>
          <w:sz w:val="20"/>
        </w:rPr>
        <w:t>Структура ряду: впорядкована послідовність (event timestamp) з нерівномірними інтервалами; missingness обробляється через freeze logic і recency decay.</w:t>
      </w:r>
    </w:p>
    <w:p>
      <w:pPr>
        <w:pStyle w:val="ListBullet"/>
        <w:ind w:left="283"/>
      </w:pPr>
      <w:r>
        <w:rPr>
          <w:sz w:val="20"/>
        </w:rPr>
        <w:t>Мінімум для inference: 30+ mood-записів для persona-level trajectory prediction.</w:t>
      </w:r>
    </w:p>
    <w:p>
      <w:pPr>
        <w:pStyle w:val="Heading2"/>
      </w:pPr>
      <w:r>
        <w:rPr>
          <w:color w:val="1A569A"/>
          <w:sz w:val="24"/>
        </w:rPr>
        <w:t>Dataset Inventory Template</w:t>
      </w:r>
    </w:p>
    <w:p>
      <w:r>
        <w:rPr>
          <w:sz w:val="20"/>
        </w:rPr>
        <w:t>Для кожного dataset:</w:t>
      </w:r>
    </w:p>
    <w:p>
      <w:pPr>
        <w:pStyle w:val="ListBullet"/>
        <w:ind w:left="283"/>
      </w:pPr>
      <w:r>
        <w:rPr>
          <w:sz w:val="20"/>
        </w:rPr>
        <w:t>dataset_id</w:t>
      </w:r>
    </w:p>
    <w:p>
      <w:pPr>
        <w:pStyle w:val="ListBullet"/>
        <w:ind w:left="283"/>
      </w:pPr>
      <w:r>
        <w:rPr>
          <w:sz w:val="20"/>
        </w:rPr>
        <w:t>purpose</w:t>
      </w:r>
    </w:p>
    <w:p>
      <w:pPr>
        <w:pStyle w:val="ListBullet"/>
        <w:ind w:left="283"/>
      </w:pPr>
      <w:r>
        <w:rPr>
          <w:sz w:val="20"/>
        </w:rPr>
        <w:t>owner</w:t>
      </w:r>
    </w:p>
    <w:p>
      <w:pPr>
        <w:pStyle w:val="ListBullet"/>
        <w:ind w:left="283"/>
      </w:pPr>
      <w:r>
        <w:rPr>
          <w:sz w:val="20"/>
        </w:rPr>
        <w:t>source systems</w:t>
      </w:r>
    </w:p>
    <w:p>
      <w:pPr>
        <w:pStyle w:val="ListBullet"/>
        <w:ind w:left="283"/>
      </w:pPr>
      <w:r>
        <w:rPr>
          <w:sz w:val="20"/>
        </w:rPr>
        <w:t>schema version</w:t>
      </w:r>
    </w:p>
    <w:p>
      <w:pPr>
        <w:pStyle w:val="ListBullet"/>
        <w:ind w:left="283"/>
      </w:pPr>
      <w:r>
        <w:rPr>
          <w:sz w:val="20"/>
        </w:rPr>
        <w:t>refresh cadence</w:t>
      </w:r>
    </w:p>
    <w:p>
      <w:pPr>
        <w:pStyle w:val="ListBullet"/>
        <w:ind w:left="283"/>
      </w:pPr>
      <w:r>
        <w:rPr>
          <w:sz w:val="20"/>
        </w:rPr>
        <w:t>retention</w:t>
      </w:r>
    </w:p>
    <w:p>
      <w:pPr>
        <w:pStyle w:val="ListBullet"/>
        <w:ind w:left="283"/>
      </w:pPr>
      <w:r>
        <w:rPr>
          <w:sz w:val="20"/>
        </w:rPr>
        <w:t>lawful basis</w:t>
      </w:r>
    </w:p>
    <w:p>
      <w:pPr>
        <w:pStyle w:val="ListBullet"/>
        <w:ind w:left="283"/>
      </w:pPr>
      <w:r>
        <w:rPr>
          <w:sz w:val="20"/>
        </w:rPr>
        <w:t>access scope</w:t>
      </w:r>
    </w:p>
    <w:p>
      <w:pPr>
        <w:pStyle w:val="Heading2"/>
      </w:pPr>
      <w:r>
        <w:rPr>
          <w:color w:val="1A569A"/>
          <w:sz w:val="24"/>
        </w:rPr>
        <w:t>Granularity Levels</w:t>
      </w:r>
    </w:p>
    <w:p>
      <w:pPr>
        <w:pStyle w:val="ListBullet"/>
        <w:ind w:left="283"/>
      </w:pPr>
      <w:r>
        <w:rPr>
          <w:sz w:val="20"/>
        </w:rPr>
        <w:t>Individual level (restricted, privacy-sensitive).</w:t>
      </w:r>
    </w:p>
    <w:p>
      <w:pPr>
        <w:pStyle w:val="ListBullet"/>
        <w:ind w:left="283"/>
      </w:pPr>
      <w:r>
        <w:rPr>
          <w:sz w:val="20"/>
        </w:rPr>
        <w:t>Team level (k-anonymity thresholds and masking).</w:t>
      </w:r>
    </w:p>
    <w:p>
      <w:pPr>
        <w:pStyle w:val="ListBullet"/>
        <w:ind w:left="283"/>
      </w:pPr>
      <w:r>
        <w:rPr>
          <w:sz w:val="20"/>
        </w:rPr>
        <w:t>Company level (aggregated executive analytics).</w:t>
      </w:r>
    </w:p>
    <w:p>
      <w:pPr>
        <w:pStyle w:val="Heading2"/>
      </w:pPr>
      <w:r>
        <w:rPr>
          <w:color w:val="1A569A"/>
          <w:sz w:val="24"/>
        </w:rPr>
        <w:t>Temporal Properties</w:t>
      </w:r>
    </w:p>
    <w:p>
      <w:pPr>
        <w:pStyle w:val="ListBullet"/>
        <w:ind w:left="283"/>
      </w:pPr>
      <w:r>
        <w:rPr>
          <w:sz w:val="20"/>
        </w:rPr>
        <w:t>Event timestamp</w:t>
      </w:r>
    </w:p>
    <w:p>
      <w:pPr>
        <w:pStyle w:val="ListBullet"/>
        <w:ind w:left="283"/>
      </w:pPr>
      <w:r>
        <w:rPr>
          <w:sz w:val="20"/>
        </w:rPr>
        <w:t>Ingestion timestamp</w:t>
      </w:r>
    </w:p>
    <w:p>
      <w:pPr>
        <w:pStyle w:val="ListBullet"/>
        <w:ind w:left="283"/>
      </w:pPr>
      <w:r>
        <w:rPr>
          <w:sz w:val="20"/>
        </w:rPr>
        <w:t>Feature window alignment</w:t>
      </w:r>
    </w:p>
    <w:p>
      <w:pPr>
        <w:pStyle w:val="ListBullet"/>
        <w:ind w:left="283"/>
      </w:pPr>
      <w:r>
        <w:rPr>
          <w:sz w:val="20"/>
        </w:rPr>
        <w:t>Delay/missingness handling policy</w:t>
      </w:r>
    </w:p>
    <w:p>
      <w:pPr>
        <w:pStyle w:val="Heading2"/>
      </w:pPr>
      <w:r>
        <w:rPr>
          <w:color w:val="1A569A"/>
          <w:sz w:val="24"/>
        </w:rPr>
        <w:t>Inclusion and Exclusion Rules</w:t>
      </w:r>
    </w:p>
    <w:p>
      <w:pPr>
        <w:pStyle w:val="ListBullet"/>
        <w:ind w:left="283"/>
      </w:pPr>
      <w:r>
        <w:rPr>
          <w:sz w:val="20"/>
        </w:rPr>
        <w:t>Minimum activity thresholds для model eligibility.</w:t>
      </w:r>
    </w:p>
    <w:p>
      <w:pPr>
        <w:pStyle w:val="ListBullet"/>
        <w:ind w:left="283"/>
      </w:pPr>
      <w:r>
        <w:rPr>
          <w:sz w:val="20"/>
        </w:rPr>
        <w:t>Exclusion of corrupted/duplicated records.</w:t>
      </w:r>
    </w:p>
    <w:p>
      <w:pPr>
        <w:pStyle w:val="ListBullet"/>
        <w:ind w:left="283"/>
      </w:pPr>
      <w:r>
        <w:rPr>
          <w:sz w:val="20"/>
        </w:rPr>
        <w:t>Masking of small cohorts for B2B outputs.</w:t>
      </w:r>
    </w:p>
    <w:p>
      <w:pPr>
        <w:pStyle w:val="Heading2"/>
      </w:pPr>
      <w:r>
        <w:rPr>
          <w:color w:val="1A569A"/>
          <w:sz w:val="24"/>
        </w:rPr>
        <w:t>Label-Readiness Criteria</w:t>
      </w:r>
    </w:p>
    <w:p>
      <w:pPr>
        <w:pStyle w:val="ListBullet"/>
        <w:ind w:left="283"/>
      </w:pPr>
      <w:r>
        <w:rPr>
          <w:sz w:val="20"/>
        </w:rPr>
        <w:t>Достатня довжина історії.</w:t>
      </w:r>
    </w:p>
    <w:p>
      <w:pPr>
        <w:pStyle w:val="ListBullet"/>
        <w:ind w:left="283"/>
      </w:pPr>
      <w:r>
        <w:rPr>
          <w:sz w:val="20"/>
        </w:rPr>
        <w:t>Мінімум валідних спостережень у вікні.</w:t>
      </w:r>
    </w:p>
    <w:p>
      <w:pPr>
        <w:pStyle w:val="ListBullet"/>
        <w:ind w:left="283"/>
      </w:pPr>
      <w:r>
        <w:rPr>
          <w:sz w:val="20"/>
        </w:rPr>
        <w:t>Відсутність критичних data quality flags.</w:t>
      </w:r>
    </w:p>
    <w:p>
      <w:pPr>
        <w:pStyle w:val="Heading2"/>
      </w:pPr>
      <w:r>
        <w:rPr>
          <w:color w:val="1A569A"/>
          <w:sz w:val="24"/>
        </w:rPr>
        <w:t>Privacy and Security Controls</w:t>
      </w:r>
    </w:p>
    <w:p>
      <w:pPr>
        <w:pStyle w:val="ListBullet"/>
        <w:ind w:left="283"/>
      </w:pPr>
      <w:r>
        <w:rPr>
          <w:sz w:val="20"/>
        </w:rPr>
        <w:t>Pseudonymization for research exports.</w:t>
      </w:r>
    </w:p>
    <w:p>
      <w:pPr>
        <w:pStyle w:val="ListBullet"/>
        <w:ind w:left="283"/>
      </w:pPr>
      <w:r>
        <w:rPr>
          <w:sz w:val="20"/>
        </w:rPr>
        <w:t>Role-based access with least privilege.</w:t>
      </w:r>
    </w:p>
    <w:p>
      <w:pPr>
        <w:pStyle w:val="ListBullet"/>
        <w:ind w:left="283"/>
      </w:pPr>
      <w:r>
        <w:rPr>
          <w:sz w:val="20"/>
        </w:rPr>
        <w:t>Audit logs for dataset access and exports.</w:t>
      </w:r>
    </w:p>
    <w:p>
      <w:pPr>
        <w:pStyle w:val="Heading2"/>
      </w:pPr>
      <w:r>
        <w:rPr>
          <w:color w:val="1A569A"/>
          <w:sz w:val="24"/>
        </w:rPr>
        <w:t>Known Limitations</w:t>
      </w:r>
    </w:p>
    <w:p>
      <w:pPr>
        <w:pStyle w:val="ListBullet"/>
        <w:ind w:left="283"/>
      </w:pPr>
      <w:r>
        <w:rPr>
          <w:sz w:val="20"/>
        </w:rPr>
        <w:t>Self-report bias.</w:t>
      </w:r>
    </w:p>
    <w:p>
      <w:pPr>
        <w:pStyle w:val="ListBullet"/>
        <w:ind w:left="283"/>
      </w:pPr>
      <w:r>
        <w:rPr>
          <w:sz w:val="20"/>
        </w:rPr>
        <w:t>Non-random missingness.</w:t>
      </w:r>
    </w:p>
    <w:p>
      <w:pPr>
        <w:pStyle w:val="ListBullet"/>
        <w:ind w:left="283"/>
      </w:pPr>
      <w:r>
        <w:rPr>
          <w:sz w:val="20"/>
        </w:rPr>
        <w:t>Variable participation across teams/periods.</w:t>
      </w:r>
    </w:p>
    <w:p>
      <w:pPr>
        <w:pStyle w:val="Heading2"/>
      </w:pPr>
      <w:r>
        <w:rPr>
          <w:color w:val="1A569A"/>
          <w:sz w:val="24"/>
        </w:rPr>
        <w:t>Dataset Documentation Deliverables</w:t>
      </w:r>
    </w:p>
    <w:p>
      <w:pPr>
        <w:pStyle w:val="ListBullet"/>
        <w:ind w:left="283"/>
      </w:pPr>
      <w:r>
        <w:rPr>
          <w:sz w:val="20"/>
        </w:rPr>
        <w:t>Data dictionary</w:t>
      </w:r>
    </w:p>
    <w:p>
      <w:pPr>
        <w:pStyle w:val="ListBullet"/>
        <w:ind w:left="283"/>
      </w:pPr>
      <w:r>
        <w:rPr>
          <w:sz w:val="20"/>
        </w:rPr>
        <w:t>Lineage map</w:t>
      </w:r>
    </w:p>
    <w:p>
      <w:pPr>
        <w:pStyle w:val="ListBullet"/>
        <w:ind w:left="283"/>
      </w:pPr>
      <w:r>
        <w:rPr>
          <w:sz w:val="20"/>
        </w:rPr>
        <w:t>Quality report per release</w:t>
      </w:r>
    </w:p>
    <w:p>
      <w:pPr>
        <w:pStyle w:val="ListBullet"/>
        <w:ind w:left="283"/>
      </w:pPr>
      <w:r>
        <w:rPr>
          <w:sz w:val="20"/>
        </w:rPr>
        <w:t>Change log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100% datasets мають owner, schema, retention і access policy.</w:t>
      </w:r>
    </w:p>
    <w:p>
      <w:pPr>
        <w:pStyle w:val="ListBullet"/>
        <w:ind w:left="283"/>
      </w:pPr>
      <w:r>
        <w:rPr>
          <w:sz w:val="20"/>
        </w:rPr>
        <w:t>Є documented mapping dataset -&gt; feature -&gt; label -&gt; model.</w:t>
      </w:r>
    </w:p>
    <w:p>
      <w:pPr>
        <w:pStyle w:val="ListBullet"/>
        <w:ind w:left="283"/>
      </w:pPr>
      <w:r>
        <w:rPr>
          <w:sz w:val="20"/>
        </w:rPr>
        <w:t>Для кожного експерименту зафіксовано dataset snapshot id.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09-feature-engineering.md, 10-label-definition.md, 11-ground-truth.md, 14-data-quality.md, 36-gdpr.md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