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Feature Engineering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Feature Engineering</w:t>
      </w:r>
    </w:p>
    <w:p>
      <w:r>
        <w:rPr>
          <w:sz w:val="20"/>
        </w:rPr>
        <w:t>Мова: Українська (default) | [English](09-feature-engineering.en.md)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ML Engineering Lead</w:t>
      </w:r>
    </w:p>
    <w:p>
      <w:pPr>
        <w:pStyle w:val="ListBullet"/>
        <w:ind w:left="283"/>
      </w:pPr>
      <w:r>
        <w:rPr>
          <w:sz w:val="20"/>
        </w:rPr>
        <w:t>Contributors: Data Platform, Research Scientists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Визначити підхід до проєктування, обчислення і валідації ознак для decision support та прогнозних моделей.</w:t>
      </w:r>
    </w:p>
    <w:p>
      <w:pPr>
        <w:pStyle w:val="Heading2"/>
      </w:pPr>
      <w:r>
        <w:rPr>
          <w:color w:val="1A569A"/>
          <w:sz w:val="24"/>
        </w:rPr>
        <w:t>Design Principles</w:t>
      </w:r>
    </w:p>
    <w:p>
      <w:pPr>
        <w:pStyle w:val="ListBullet"/>
        <w:ind w:left="283"/>
      </w:pPr>
      <w:r>
        <w:rPr>
          <w:sz w:val="20"/>
        </w:rPr>
        <w:t>Кожна feature має бізнес-семантику.</w:t>
      </w:r>
    </w:p>
    <w:p>
      <w:pPr>
        <w:pStyle w:val="ListBullet"/>
        <w:ind w:left="283"/>
      </w:pPr>
      <w:r>
        <w:rPr>
          <w:sz w:val="20"/>
        </w:rPr>
        <w:t>Формула має бути однозначною і відтворюваною.</w:t>
      </w:r>
    </w:p>
    <w:p>
      <w:pPr>
        <w:pStyle w:val="ListBullet"/>
        <w:ind w:left="283"/>
      </w:pPr>
      <w:r>
        <w:rPr>
          <w:sz w:val="20"/>
        </w:rPr>
        <w:t>Ознака має бути доступною на inference time.</w:t>
      </w:r>
    </w:p>
    <w:p>
      <w:pPr>
        <w:pStyle w:val="ListBullet"/>
        <w:ind w:left="283"/>
      </w:pPr>
      <w:r>
        <w:rPr>
          <w:sz w:val="20"/>
        </w:rPr>
        <w:t>Вразливі ознаки проходять bias review.</w:t>
      </w:r>
    </w:p>
    <w:p>
      <w:pPr>
        <w:pStyle w:val="Heading2"/>
      </w:pPr>
      <w:r>
        <w:rPr>
          <w:color w:val="1A569A"/>
          <w:sz w:val="24"/>
        </w:rPr>
        <w:t>Canonical Feature Card</w:t>
      </w:r>
    </w:p>
    <w:p>
      <w:pPr>
        <w:pStyle w:val="ListBullet"/>
        <w:ind w:left="283"/>
      </w:pPr>
      <w:r>
        <w:rPr>
          <w:sz w:val="20"/>
        </w:rPr>
        <w:t>feature_key</w:t>
      </w:r>
    </w:p>
    <w:p>
      <w:pPr>
        <w:pStyle w:val="ListBullet"/>
        <w:ind w:left="283"/>
      </w:pPr>
      <w:r>
        <w:rPr>
          <w:sz w:val="20"/>
        </w:rPr>
        <w:t>description</w:t>
      </w:r>
    </w:p>
    <w:p>
      <w:pPr>
        <w:pStyle w:val="ListBullet"/>
        <w:ind w:left="283"/>
      </w:pPr>
      <w:r>
        <w:rPr>
          <w:sz w:val="20"/>
        </w:rPr>
        <w:t>type (numeric/categorical/boolean/text-derived)</w:t>
      </w:r>
    </w:p>
    <w:p>
      <w:pPr>
        <w:pStyle w:val="ListBullet"/>
        <w:ind w:left="283"/>
      </w:pPr>
      <w:r>
        <w:rPr>
          <w:sz w:val="20"/>
        </w:rPr>
        <w:t>formula</w:t>
      </w:r>
    </w:p>
    <w:p>
      <w:pPr>
        <w:pStyle w:val="ListBullet"/>
        <w:ind w:left="283"/>
      </w:pPr>
      <w:r>
        <w:rPr>
          <w:sz w:val="20"/>
        </w:rPr>
        <w:t>window (1d/7d/30d)</w:t>
      </w:r>
    </w:p>
    <w:p>
      <w:pPr>
        <w:pStyle w:val="ListBullet"/>
        <w:ind w:left="283"/>
      </w:pPr>
      <w:r>
        <w:rPr>
          <w:sz w:val="20"/>
        </w:rPr>
        <w:t>source</w:t>
      </w:r>
    </w:p>
    <w:p>
      <w:pPr>
        <w:pStyle w:val="ListBullet"/>
        <w:ind w:left="283"/>
      </w:pPr>
      <w:r>
        <w:rPr>
          <w:sz w:val="20"/>
        </w:rPr>
        <w:t>null policy</w:t>
      </w:r>
    </w:p>
    <w:p>
      <w:pPr>
        <w:pStyle w:val="ListBullet"/>
        <w:ind w:left="283"/>
      </w:pPr>
      <w:r>
        <w:rPr>
          <w:sz w:val="20"/>
        </w:rPr>
        <w:t>expected range</w:t>
      </w:r>
    </w:p>
    <w:p>
      <w:pPr>
        <w:pStyle w:val="ListBullet"/>
        <w:ind w:left="283"/>
      </w:pPr>
      <w:r>
        <w:rPr>
          <w:sz w:val="20"/>
        </w:rPr>
        <w:t>drift sensitivity</w:t>
      </w:r>
    </w:p>
    <w:p>
      <w:pPr>
        <w:pStyle w:val="Heading2"/>
      </w:pPr>
      <w:r>
        <w:rPr>
          <w:color w:val="1A569A"/>
          <w:sz w:val="24"/>
        </w:rPr>
        <w:t>Feature Families</w:t>
      </w:r>
    </w:p>
    <w:p>
      <w:pPr>
        <w:pStyle w:val="ListBullet"/>
        <w:ind w:left="283"/>
      </w:pPr>
      <w:r>
        <w:rPr>
          <w:sz w:val="20"/>
        </w:rPr>
        <w:t>Trend features: slope, moving averages, volatility.</w:t>
      </w:r>
    </w:p>
    <w:p>
      <w:pPr>
        <w:pStyle w:val="ListBullet"/>
        <w:ind w:left="283"/>
      </w:pPr>
      <w:r>
        <w:rPr>
          <w:sz w:val="20"/>
        </w:rPr>
        <w:t>Behavioral stability features: streaks, variance, recovery time.</w:t>
      </w:r>
    </w:p>
    <w:p>
      <w:pPr>
        <w:pStyle w:val="ListBullet"/>
        <w:ind w:left="283"/>
      </w:pPr>
      <w:r>
        <w:rPr>
          <w:sz w:val="20"/>
        </w:rPr>
        <w:t>Psychometric aggregates: standardized subscales.</w:t>
      </w:r>
    </w:p>
    <w:p>
      <w:pPr>
        <w:pStyle w:val="ListBullet"/>
        <w:ind w:left="283"/>
      </w:pPr>
      <w:r>
        <w:rPr>
          <w:sz w:val="20"/>
        </w:rPr>
        <w:t>Engagement features: recency/frequency/completion ratios.</w:t>
      </w:r>
    </w:p>
    <w:p>
      <w:pPr>
        <w:pStyle w:val="ListBullet"/>
        <w:ind w:left="283"/>
      </w:pPr>
      <w:r>
        <w:rPr>
          <w:sz w:val="20"/>
        </w:rPr>
        <w:t>Team context features: peer baseline deltas.</w:t>
      </w:r>
    </w:p>
    <w:p>
      <w:pPr>
        <w:pStyle w:val="Heading2"/>
      </w:pPr>
      <w:r>
        <w:rPr>
          <w:color w:val="1A569A"/>
          <w:sz w:val="24"/>
        </w:rPr>
        <w:t>Example Candidate Features</w:t>
      </w:r>
    </w:p>
    <w:p>
      <w:pPr>
        <w:pStyle w:val="ListBullet"/>
        <w:ind w:left="283"/>
      </w:pPr>
      <w:r>
        <w:rPr>
          <w:sz w:val="20"/>
        </w:rPr>
        <w:t>stress_average_7d</w:t>
      </w:r>
    </w:p>
    <w:p>
      <w:pPr>
        <w:pStyle w:val="ListBullet"/>
        <w:ind w:left="283"/>
      </w:pPr>
      <w:r>
        <w:rPr>
          <w:sz w:val="20"/>
        </w:rPr>
        <w:t>mood_trend_14d</w:t>
      </w:r>
    </w:p>
    <w:p>
      <w:pPr>
        <w:pStyle w:val="ListBullet"/>
        <w:ind w:left="283"/>
      </w:pPr>
      <w:r>
        <w:rPr>
          <w:sz w:val="20"/>
        </w:rPr>
        <w:t>energy_volatility_30d</w:t>
      </w:r>
    </w:p>
    <w:p>
      <w:pPr>
        <w:pStyle w:val="ListBullet"/>
        <w:ind w:left="283"/>
      </w:pPr>
      <w:r>
        <w:rPr>
          <w:sz w:val="20"/>
        </w:rPr>
        <w:t>checkin_consistency_14d</w:t>
      </w:r>
    </w:p>
    <w:p>
      <w:pPr>
        <w:pStyle w:val="ListBullet"/>
        <w:ind w:left="283"/>
      </w:pPr>
      <w:r>
        <w:rPr>
          <w:sz w:val="20"/>
        </w:rPr>
        <w:t>high_risk_team_ratio_30d</w:t>
      </w:r>
    </w:p>
    <w:p>
      <w:pPr>
        <w:pStyle w:val="ListBullet"/>
        <w:ind w:left="283"/>
      </w:pPr>
      <w:r>
        <w:rPr>
          <w:sz w:val="20"/>
        </w:rPr>
        <w:t>psychometric_delta_30d</w:t>
      </w:r>
    </w:p>
    <w:p>
      <w:pPr>
        <w:pStyle w:val="Heading2"/>
      </w:pPr>
      <w:r>
        <w:rPr>
          <w:color w:val="1A569A"/>
          <w:sz w:val="24"/>
        </w:rPr>
        <w:t>Feature Transformation Rules</w:t>
      </w:r>
    </w:p>
    <w:p>
      <w:pPr>
        <w:pStyle w:val="ListBullet"/>
        <w:ind w:left="283"/>
      </w:pPr>
      <w:r>
        <w:rPr>
          <w:sz w:val="20"/>
        </w:rPr>
        <w:t>Normalization by bounded scales.</w:t>
      </w:r>
    </w:p>
    <w:p>
      <w:pPr>
        <w:pStyle w:val="ListBullet"/>
        <w:ind w:left="283"/>
      </w:pPr>
      <w:r>
        <w:rPr>
          <w:sz w:val="20"/>
        </w:rPr>
        <w:t>Winsorization for extreme outliers where justified.</w:t>
      </w:r>
    </w:p>
    <w:p>
      <w:pPr>
        <w:pStyle w:val="ListBullet"/>
        <w:ind w:left="283"/>
      </w:pPr>
      <w:r>
        <w:rPr>
          <w:sz w:val="20"/>
        </w:rPr>
        <w:t>Encoding policy for low-cardinality categories.</w:t>
      </w:r>
    </w:p>
    <w:p>
      <w:pPr>
        <w:pStyle w:val="ListBullet"/>
        <w:ind w:left="283"/>
      </w:pPr>
      <w:r>
        <w:rPr>
          <w:sz w:val="20"/>
        </w:rPr>
        <w:t>Missingness indicators for informative nulls.</w:t>
      </w:r>
    </w:p>
    <w:p>
      <w:pPr>
        <w:pStyle w:val="Heading2"/>
      </w:pPr>
      <w:r>
        <w:rPr>
          <w:color w:val="1A569A"/>
          <w:sz w:val="24"/>
        </w:rPr>
        <w:t>Data Leakage Controls</w:t>
      </w:r>
    </w:p>
    <w:p>
      <w:pPr>
        <w:pStyle w:val="ListBullet"/>
        <w:ind w:left="283"/>
      </w:pPr>
      <w:r>
        <w:rPr>
          <w:sz w:val="20"/>
        </w:rPr>
        <w:t>Заборона використання future information.</w:t>
      </w:r>
    </w:p>
    <w:p>
      <w:pPr>
        <w:pStyle w:val="ListBullet"/>
        <w:ind w:left="283"/>
      </w:pPr>
      <w:r>
        <w:rPr>
          <w:sz w:val="20"/>
        </w:rPr>
        <w:t>Time-based split discipline.</w:t>
      </w:r>
    </w:p>
    <w:p>
      <w:pPr>
        <w:pStyle w:val="ListBullet"/>
        <w:ind w:left="283"/>
      </w:pPr>
      <w:r>
        <w:rPr>
          <w:sz w:val="20"/>
        </w:rPr>
        <w:t>Strict separation of label-period and feature-period.</w:t>
      </w:r>
    </w:p>
    <w:p>
      <w:pPr>
        <w:pStyle w:val="Heading2"/>
      </w:pPr>
      <w:r>
        <w:rPr>
          <w:color w:val="1A569A"/>
          <w:sz w:val="24"/>
        </w:rPr>
        <w:t>Feature Selection Strategy</w:t>
      </w:r>
    </w:p>
    <w:p>
      <w:pPr>
        <w:pStyle w:val="ListBullet"/>
        <w:ind w:left="283"/>
      </w:pPr>
      <w:r>
        <w:rPr>
          <w:sz w:val="20"/>
        </w:rPr>
        <w:t>Baseline deterministic set.</w:t>
      </w:r>
    </w:p>
    <w:p>
      <w:pPr>
        <w:pStyle w:val="ListBullet"/>
        <w:ind w:left="283"/>
      </w:pPr>
      <w:r>
        <w:rPr>
          <w:sz w:val="20"/>
        </w:rPr>
        <w:t>Model-driven relevance ranking.</w:t>
      </w:r>
    </w:p>
    <w:p>
      <w:pPr>
        <w:pStyle w:val="ListBullet"/>
        <w:ind w:left="283"/>
      </w:pPr>
      <w:r>
        <w:rPr>
          <w:sz w:val="20"/>
        </w:rPr>
        <w:t>Stability selection across cohorts.</w:t>
      </w:r>
    </w:p>
    <w:p>
      <w:pPr>
        <w:pStyle w:val="ListBullet"/>
        <w:ind w:left="283"/>
      </w:pPr>
      <w:r>
        <w:rPr>
          <w:sz w:val="20"/>
        </w:rPr>
        <w:t>Human review for interpretability and ethics.</w:t>
      </w:r>
    </w:p>
    <w:p>
      <w:pPr>
        <w:pStyle w:val="Heading2"/>
      </w:pPr>
      <w:r>
        <w:rPr>
          <w:color w:val="1A569A"/>
          <w:sz w:val="24"/>
        </w:rPr>
        <w:t>Monitoring</w:t>
      </w:r>
    </w:p>
    <w:p>
      <w:pPr>
        <w:pStyle w:val="ListBullet"/>
        <w:ind w:left="283"/>
      </w:pPr>
      <w:r>
        <w:rPr>
          <w:sz w:val="20"/>
        </w:rPr>
        <w:t>Distribution drift per feature.</w:t>
      </w:r>
    </w:p>
    <w:p>
      <w:pPr>
        <w:pStyle w:val="ListBullet"/>
        <w:ind w:left="283"/>
      </w:pPr>
      <w:r>
        <w:rPr>
          <w:sz w:val="20"/>
        </w:rPr>
        <w:t>Missingness drift.</w:t>
      </w:r>
    </w:p>
    <w:p>
      <w:pPr>
        <w:pStyle w:val="ListBullet"/>
        <w:ind w:left="283"/>
      </w:pPr>
      <w:r>
        <w:rPr>
          <w:sz w:val="20"/>
        </w:rPr>
        <w:t>Correlation drift for critical feature pairs.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Для кожної production feature є feature card.</w:t>
      </w:r>
    </w:p>
    <w:p>
      <w:pPr>
        <w:pStyle w:val="ListBullet"/>
        <w:ind w:left="283"/>
      </w:pPr>
      <w:r>
        <w:rPr>
          <w:sz w:val="20"/>
        </w:rPr>
        <w:t>Ознаки проходять leakage check і drift baseline check.</w:t>
      </w:r>
    </w:p>
    <w:p>
      <w:pPr>
        <w:pStyle w:val="ListBullet"/>
        <w:ind w:left="283"/>
      </w:pPr>
      <w:r>
        <w:rPr>
          <w:sz w:val="20"/>
        </w:rPr>
        <w:t>Всі моделі мають зафіксований список feature versions.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08-dataset-specification.md, 17-feature-store.md, 22-uncertainty.md, 26-metrics.md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