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Label Definition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Label Definition</w:t>
      </w:r>
    </w:p>
    <w:p>
      <w:r>
        <w:rPr>
          <w:sz w:val="20"/>
        </w:rPr>
        <w:t>Мова: Українська (default) | [English](10-label-definition.en.md)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ML Lead</w:t>
      </w:r>
    </w:p>
    <w:p>
      <w:pPr>
        <w:pStyle w:val="ListBullet"/>
        <w:ind w:left="283"/>
      </w:pPr>
      <w:r>
        <w:rPr>
          <w:sz w:val="20"/>
        </w:rPr>
        <w:t>Contributors: Decision Science, Clinical Advisor, Data Team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цільові labels для training/evaluation і формальні правила їх побудови.</w:t>
      </w:r>
    </w:p>
    <w:p>
      <w:pPr>
        <w:pStyle w:val="Heading2"/>
      </w:pPr>
      <w:r>
        <w:rPr>
          <w:color w:val="1A569A"/>
          <w:sz w:val="24"/>
        </w:rPr>
        <w:t>Label Catalog (Draft)</w:t>
      </w:r>
    </w:p>
    <w:p>
      <w:pPr>
        <w:pStyle w:val="ListBullet"/>
        <w:ind w:left="283"/>
      </w:pPr>
      <w:r>
        <w:rPr>
          <w:sz w:val="20"/>
        </w:rPr>
        <w:t>High Risk</w:t>
      </w:r>
    </w:p>
    <w:p>
      <w:pPr>
        <w:pStyle w:val="ListBullet"/>
        <w:ind w:left="283"/>
      </w:pPr>
      <w:r>
        <w:rPr>
          <w:sz w:val="20"/>
        </w:rPr>
        <w:t>Medium Risk</w:t>
      </w:r>
    </w:p>
    <w:p>
      <w:pPr>
        <w:pStyle w:val="ListBullet"/>
        <w:ind w:left="283"/>
      </w:pPr>
      <w:r>
        <w:rPr>
          <w:sz w:val="20"/>
        </w:rPr>
        <w:t>Low Risk</w:t>
      </w:r>
    </w:p>
    <w:p>
      <w:pPr>
        <w:pStyle w:val="ListBullet"/>
        <w:ind w:left="283"/>
      </w:pPr>
      <w:r>
        <w:rPr>
          <w:sz w:val="20"/>
        </w:rPr>
        <w:t>Burnout Risk Increase</w:t>
      </w:r>
    </w:p>
    <w:p>
      <w:pPr>
        <w:pStyle w:val="ListBullet"/>
        <w:ind w:left="283"/>
      </w:pPr>
      <w:r>
        <w:rPr>
          <w:sz w:val="20"/>
        </w:rPr>
        <w:t>Improvement Signal</w:t>
      </w:r>
    </w:p>
    <w:p>
      <w:pPr>
        <w:pStyle w:val="ListBullet"/>
        <w:ind w:left="283"/>
      </w:pPr>
      <w:r>
        <w:rPr>
          <w:sz w:val="20"/>
        </w:rPr>
        <w:t>Relapse Signal</w:t>
      </w:r>
    </w:p>
    <w:p>
      <w:pPr>
        <w:pStyle w:val="Heading2"/>
      </w:pPr>
      <w:r>
        <w:rPr>
          <w:color w:val="1A569A"/>
          <w:sz w:val="24"/>
        </w:rPr>
        <w:t>Label Design Principles</w:t>
      </w:r>
    </w:p>
    <w:p>
      <w:pPr>
        <w:pStyle w:val="ListBullet"/>
        <w:ind w:left="283"/>
      </w:pPr>
      <w:r>
        <w:rPr>
          <w:sz w:val="20"/>
        </w:rPr>
        <w:t>Operationally meaningful.</w:t>
      </w:r>
    </w:p>
    <w:p>
      <w:pPr>
        <w:pStyle w:val="ListBullet"/>
        <w:ind w:left="283"/>
      </w:pPr>
      <w:r>
        <w:rPr>
          <w:sz w:val="20"/>
        </w:rPr>
        <w:t>Time-bounded and reproducible.</w:t>
      </w:r>
    </w:p>
    <w:p>
      <w:pPr>
        <w:pStyle w:val="ListBullet"/>
        <w:ind w:left="283"/>
      </w:pPr>
      <w:r>
        <w:rPr>
          <w:sz w:val="20"/>
        </w:rPr>
        <w:t>Interpretable for governance/audit.</w:t>
      </w:r>
    </w:p>
    <w:p>
      <w:pPr>
        <w:pStyle w:val="ListBullet"/>
        <w:ind w:left="283"/>
      </w:pPr>
      <w:r>
        <w:rPr>
          <w:sz w:val="20"/>
        </w:rPr>
        <w:t>Compatible with multi-level granularity.</w:t>
      </w:r>
    </w:p>
    <w:p>
      <w:pPr>
        <w:pStyle w:val="Heading2"/>
      </w:pPr>
      <w:r>
        <w:rPr>
          <w:color w:val="1A569A"/>
          <w:sz w:val="24"/>
        </w:rPr>
        <w:t>Example Definitions (to calibrate)</w:t>
      </w:r>
    </w:p>
    <w:p>
      <w:pPr>
        <w:pStyle w:val="ListBullet"/>
        <w:ind w:left="283"/>
      </w:pPr>
      <w:r>
        <w:rPr>
          <w:sz w:val="20"/>
        </w:rPr>
        <w:t>High Risk: riskScore &gt;= threshold_high with confidence guard.</w:t>
      </w:r>
    </w:p>
    <w:p>
      <w:pPr>
        <w:pStyle w:val="ListBullet"/>
        <w:ind w:left="283"/>
      </w:pPr>
      <w:r>
        <w:rPr>
          <w:sz w:val="20"/>
        </w:rPr>
        <w:t>Medium Risk: threshold_mid &lt;= riskScore &lt; threshold_high.</w:t>
      </w:r>
    </w:p>
    <w:p>
      <w:pPr>
        <w:pStyle w:val="ListBullet"/>
        <w:ind w:left="283"/>
      </w:pPr>
      <w:r>
        <w:rPr>
          <w:sz w:val="20"/>
        </w:rPr>
        <w:t>Improvement: sustained positive trend across defined window.</w:t>
      </w:r>
    </w:p>
    <w:p>
      <w:pPr>
        <w:pStyle w:val="ListBullet"/>
        <w:ind w:left="283"/>
      </w:pPr>
      <w:r>
        <w:rPr>
          <w:sz w:val="20"/>
        </w:rPr>
        <w:t>Relapse: deterioration after previous improvement period.</w:t>
      </w:r>
    </w:p>
    <w:p>
      <w:pPr>
        <w:pStyle w:val="Heading2"/>
      </w:pPr>
      <w:r>
        <w:rPr>
          <w:color w:val="1A569A"/>
          <w:sz w:val="24"/>
        </w:rPr>
        <w:t>Label Windows</w:t>
      </w:r>
    </w:p>
    <w:p>
      <w:pPr>
        <w:pStyle w:val="ListBullet"/>
        <w:ind w:left="283"/>
      </w:pPr>
      <w:r>
        <w:rPr>
          <w:sz w:val="20"/>
        </w:rPr>
        <w:t>Short window: 7-14 days</w:t>
      </w:r>
    </w:p>
    <w:p>
      <w:pPr>
        <w:pStyle w:val="ListBullet"/>
        <w:ind w:left="283"/>
      </w:pPr>
      <w:r>
        <w:rPr>
          <w:sz w:val="20"/>
        </w:rPr>
        <w:t>Medium window: 30 days</w:t>
      </w:r>
    </w:p>
    <w:p>
      <w:pPr>
        <w:pStyle w:val="ListBullet"/>
        <w:ind w:left="283"/>
      </w:pPr>
      <w:r>
        <w:rPr>
          <w:sz w:val="20"/>
        </w:rPr>
        <w:t>Long window: 60-90 days</w:t>
      </w:r>
    </w:p>
    <w:p>
      <w:pPr>
        <w:pStyle w:val="Heading2"/>
      </w:pPr>
      <w:r>
        <w:rPr>
          <w:color w:val="1A569A"/>
          <w:sz w:val="24"/>
        </w:rPr>
        <w:t>Ambiguity Handling</w:t>
      </w:r>
    </w:p>
    <w:p>
      <w:pPr>
        <w:pStyle w:val="ListBullet"/>
        <w:ind w:left="283"/>
      </w:pPr>
      <w:r>
        <w:rPr>
          <w:sz w:val="20"/>
        </w:rPr>
        <w:t>Inconclusive label when evidence is insufficient.</w:t>
      </w:r>
    </w:p>
    <w:p>
      <w:pPr>
        <w:pStyle w:val="ListBullet"/>
        <w:ind w:left="283"/>
      </w:pPr>
      <w:r>
        <w:rPr>
          <w:sz w:val="20"/>
        </w:rPr>
        <w:t>Conflict flags when rules and ML strongly disagree.</w:t>
      </w:r>
    </w:p>
    <w:p>
      <w:pPr>
        <w:pStyle w:val="Heading2"/>
      </w:pPr>
      <w:r>
        <w:rPr>
          <w:color w:val="1A569A"/>
          <w:sz w:val="24"/>
        </w:rPr>
        <w:t>Threshold Governance</w:t>
      </w:r>
    </w:p>
    <w:p>
      <w:pPr>
        <w:pStyle w:val="ListBullet"/>
        <w:ind w:left="283"/>
      </w:pPr>
      <w:r>
        <w:rPr>
          <w:sz w:val="20"/>
        </w:rPr>
        <w:t>Initial thresholds from baseline evidence.</w:t>
      </w:r>
    </w:p>
    <w:p>
      <w:pPr>
        <w:pStyle w:val="ListBullet"/>
        <w:ind w:left="283"/>
      </w:pPr>
      <w:r>
        <w:rPr>
          <w:sz w:val="20"/>
        </w:rPr>
        <w:t>Segment-level calibration where justified.</w:t>
      </w:r>
    </w:p>
    <w:p>
      <w:pPr>
        <w:pStyle w:val="ListBullet"/>
        <w:ind w:left="283"/>
      </w:pPr>
      <w:r>
        <w:rPr>
          <w:sz w:val="20"/>
        </w:rPr>
        <w:t>Change log for threshold revisions.</w:t>
      </w:r>
    </w:p>
    <w:p>
      <w:pPr>
        <w:pStyle w:val="Heading2"/>
      </w:pPr>
      <w:r>
        <w:rPr>
          <w:color w:val="1A569A"/>
          <w:sz w:val="24"/>
        </w:rPr>
        <w:t>Quality Checks</w:t>
      </w:r>
    </w:p>
    <w:p>
      <w:pPr>
        <w:pStyle w:val="ListBullet"/>
        <w:ind w:left="283"/>
      </w:pPr>
      <w:r>
        <w:rPr>
          <w:sz w:val="20"/>
        </w:rPr>
        <w:t>Label stability across reruns.</w:t>
      </w:r>
    </w:p>
    <w:p>
      <w:pPr>
        <w:pStyle w:val="ListBullet"/>
        <w:ind w:left="283"/>
      </w:pPr>
      <w:r>
        <w:rPr>
          <w:sz w:val="20"/>
        </w:rPr>
        <w:t>Class balance monitoring.</w:t>
      </w:r>
    </w:p>
    <w:p>
      <w:pPr>
        <w:pStyle w:val="ListBullet"/>
        <w:ind w:left="283"/>
      </w:pPr>
      <w:r>
        <w:rPr>
          <w:sz w:val="20"/>
        </w:rPr>
        <w:t>Agreement with external anchors (where available).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Кожен label має формулу, вікно, і justification.</w:t>
      </w:r>
    </w:p>
    <w:p>
      <w:pPr>
        <w:pStyle w:val="ListBullet"/>
        <w:ind w:left="283"/>
      </w:pPr>
      <w:r>
        <w:rPr>
          <w:sz w:val="20"/>
        </w:rPr>
        <w:t>Є policy для inconclusive cases.</w:t>
      </w:r>
    </w:p>
    <w:p>
      <w:pPr>
        <w:pStyle w:val="ListBullet"/>
        <w:ind w:left="283"/>
      </w:pPr>
      <w:r>
        <w:rPr>
          <w:sz w:val="20"/>
        </w:rPr>
        <w:t>Версії label logic трасуються у model/experiment metadata.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11-ground-truth.md, 12-statistics.md, 26-metrics.md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