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Ground Truth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Ground Truth</w:t>
      </w:r>
    </w:p>
    <w:p>
      <w:r>
        <w:rPr>
          <w:sz w:val="20"/>
        </w:rPr>
        <w:t>Мова: Українська (default) | [English](11-ground-truth.en.md)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Research Quality Lead</w:t>
      </w:r>
    </w:p>
    <w:p>
      <w:pPr>
        <w:pStyle w:val="ListBullet"/>
        <w:ind w:left="283"/>
      </w:pPr>
      <w:r>
        <w:rPr>
          <w:sz w:val="20"/>
        </w:rPr>
        <w:t>Contributors: Clinical Advisor, Data Science, Product Research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процес формування ground truth для оцінювання моделей і decision policies.</w:t>
      </w:r>
    </w:p>
    <w:p>
      <w:pPr>
        <w:pStyle w:val="Heading2"/>
      </w:pPr>
      <w:r>
        <w:rPr>
          <w:color w:val="1A569A"/>
          <w:sz w:val="24"/>
        </w:rPr>
        <w:t>Ground Truth Sources</w:t>
      </w:r>
    </w:p>
    <w:p>
      <w:pPr>
        <w:pStyle w:val="ListBullet"/>
        <w:ind w:left="283"/>
      </w:pPr>
      <w:r>
        <w:rPr>
          <w:sz w:val="20"/>
        </w:rPr>
        <w:t>Longitudinal self-report trajectories.</w:t>
      </w:r>
    </w:p>
    <w:p>
      <w:pPr>
        <w:pStyle w:val="ListBullet"/>
        <w:ind w:left="283"/>
      </w:pPr>
      <w:r>
        <w:rPr>
          <w:sz w:val="20"/>
        </w:rPr>
        <w:t>Psychometric checkpoints.</w:t>
      </w:r>
    </w:p>
    <w:p>
      <w:pPr>
        <w:pStyle w:val="ListBullet"/>
        <w:ind w:left="283"/>
      </w:pPr>
      <w:r>
        <w:rPr>
          <w:sz w:val="20"/>
        </w:rPr>
        <w:t>Behavioral and engagement outcomes.</w:t>
      </w:r>
    </w:p>
    <w:p>
      <w:pPr>
        <w:pStyle w:val="ListBullet"/>
        <w:ind w:left="283"/>
      </w:pPr>
      <w:r>
        <w:rPr>
          <w:sz w:val="20"/>
        </w:rPr>
        <w:t>Structured feedback signals on predicted events.</w:t>
      </w:r>
    </w:p>
    <w:p>
      <w:pPr>
        <w:pStyle w:val="Heading2"/>
      </w:pPr>
      <w:r>
        <w:rPr>
          <w:color w:val="1A569A"/>
          <w:sz w:val="24"/>
        </w:rPr>
        <w:t>Ground Truth Strategy</w:t>
      </w:r>
    </w:p>
    <w:p>
      <w:pPr>
        <w:pStyle w:val="ListBullet"/>
        <w:ind w:left="283"/>
      </w:pPr>
      <w:r>
        <w:rPr>
          <w:sz w:val="20"/>
        </w:rPr>
        <w:t>Multi-source triangulation замість single-source truth.</w:t>
      </w:r>
    </w:p>
    <w:p>
      <w:pPr>
        <w:pStyle w:val="ListBullet"/>
        <w:ind w:left="283"/>
      </w:pPr>
      <w:r>
        <w:rPr>
          <w:sz w:val="20"/>
        </w:rPr>
        <w:t>Time-aligned outcome windows.</w:t>
      </w:r>
    </w:p>
    <w:p>
      <w:pPr>
        <w:pStyle w:val="ListBullet"/>
        <w:ind w:left="283"/>
      </w:pPr>
      <w:r>
        <w:rPr>
          <w:sz w:val="20"/>
        </w:rPr>
        <w:t>Confidence tagging for each truth instance.</w:t>
      </w:r>
    </w:p>
    <w:p>
      <w:pPr>
        <w:pStyle w:val="Heading2"/>
      </w:pPr>
      <w:r>
        <w:rPr>
          <w:color w:val="1A569A"/>
          <w:sz w:val="24"/>
        </w:rPr>
        <w:t>Annotation and Review</w:t>
      </w:r>
    </w:p>
    <w:p>
      <w:pPr>
        <w:pStyle w:val="ListBullet"/>
        <w:ind w:left="283"/>
      </w:pPr>
      <w:r>
        <w:rPr>
          <w:sz w:val="20"/>
        </w:rPr>
        <w:t>Rule-based auto-labeling baseline.</w:t>
      </w:r>
    </w:p>
    <w:p>
      <w:pPr>
        <w:pStyle w:val="ListBullet"/>
        <w:ind w:left="283"/>
      </w:pPr>
      <w:r>
        <w:rPr>
          <w:sz w:val="20"/>
        </w:rPr>
        <w:t>Human review for edge/high-impact cases.</w:t>
      </w:r>
    </w:p>
    <w:p>
      <w:pPr>
        <w:pStyle w:val="ListBullet"/>
        <w:ind w:left="283"/>
      </w:pPr>
      <w:r>
        <w:rPr>
          <w:sz w:val="20"/>
        </w:rPr>
        <w:t>Disagreement adjudication workflow.</w:t>
      </w:r>
    </w:p>
    <w:p>
      <w:pPr>
        <w:pStyle w:val="Heading2"/>
      </w:pPr>
      <w:r>
        <w:rPr>
          <w:color w:val="1A569A"/>
          <w:sz w:val="24"/>
        </w:rPr>
        <w:t>Confidence Tiers</w:t>
      </w:r>
    </w:p>
    <w:p>
      <w:pPr>
        <w:pStyle w:val="ListBullet"/>
        <w:ind w:left="283"/>
      </w:pPr>
      <w:r>
        <w:rPr>
          <w:sz w:val="20"/>
        </w:rPr>
        <w:t>High confidence: multiple converging sources.</w:t>
      </w:r>
    </w:p>
    <w:p>
      <w:pPr>
        <w:pStyle w:val="ListBullet"/>
        <w:ind w:left="283"/>
      </w:pPr>
      <w:r>
        <w:rPr>
          <w:sz w:val="20"/>
        </w:rPr>
        <w:t>Medium confidence: limited but consistent evidence.</w:t>
      </w:r>
    </w:p>
    <w:p>
      <w:pPr>
        <w:pStyle w:val="ListBullet"/>
        <w:ind w:left="283"/>
      </w:pPr>
      <w:r>
        <w:rPr>
          <w:sz w:val="20"/>
        </w:rPr>
        <w:t>Low confidence: sparse/conflicting signals.</w:t>
      </w:r>
    </w:p>
    <w:p>
      <w:pPr>
        <w:pStyle w:val="Heading2"/>
      </w:pPr>
      <w:r>
        <w:rPr>
          <w:color w:val="1A569A"/>
          <w:sz w:val="24"/>
        </w:rPr>
        <w:t>Noise and Uncertainty Handling</w:t>
      </w:r>
    </w:p>
    <w:p>
      <w:pPr>
        <w:pStyle w:val="ListBullet"/>
        <w:ind w:left="283"/>
      </w:pPr>
      <w:r>
        <w:rPr>
          <w:sz w:val="20"/>
        </w:rPr>
        <w:t>Explicit inconclusive class.</w:t>
      </w:r>
    </w:p>
    <w:p>
      <w:pPr>
        <w:pStyle w:val="ListBullet"/>
        <w:ind w:left="283"/>
      </w:pPr>
      <w:r>
        <w:rPr>
          <w:sz w:val="20"/>
        </w:rPr>
        <w:t>Weighted evaluation by confidence tier.</w:t>
      </w:r>
    </w:p>
    <w:p>
      <w:pPr>
        <w:pStyle w:val="ListBullet"/>
        <w:ind w:left="283"/>
      </w:pPr>
      <w:r>
        <w:rPr>
          <w:sz w:val="20"/>
        </w:rPr>
        <w:t>Sensitivity analysis excluding low-confidence truths.</w:t>
      </w:r>
    </w:p>
    <w:p>
      <w:pPr>
        <w:pStyle w:val="Heading2"/>
      </w:pPr>
      <w:r>
        <w:rPr>
          <w:color w:val="1A569A"/>
          <w:sz w:val="24"/>
        </w:rPr>
        <w:t>Drift Control</w:t>
      </w:r>
    </w:p>
    <w:p>
      <w:pPr>
        <w:pStyle w:val="ListBullet"/>
        <w:ind w:left="283"/>
      </w:pPr>
      <w:r>
        <w:rPr>
          <w:sz w:val="20"/>
        </w:rPr>
        <w:t>Periodic re-evaluation of truth construction rules.</w:t>
      </w:r>
    </w:p>
    <w:p>
      <w:pPr>
        <w:pStyle w:val="ListBullet"/>
        <w:ind w:left="283"/>
      </w:pPr>
      <w:r>
        <w:rPr>
          <w:sz w:val="20"/>
        </w:rPr>
        <w:t>Monitoring shift in source reliability.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Ground truth protocol задокументований і відтворюваний.</w:t>
      </w:r>
    </w:p>
    <w:p>
      <w:pPr>
        <w:pStyle w:val="ListBullet"/>
        <w:ind w:left="283"/>
      </w:pPr>
      <w:r>
        <w:rPr>
          <w:sz w:val="20"/>
        </w:rPr>
        <w:t>Є audit trail для manual adjudication.</w:t>
      </w:r>
    </w:p>
    <w:p>
      <w:pPr>
        <w:pStyle w:val="ListBullet"/>
        <w:ind w:left="283"/>
      </w:pPr>
      <w:r>
        <w:rPr>
          <w:sz w:val="20"/>
        </w:rPr>
        <w:t>Усі evaluation reports містять confidence-stratified results.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10-label-definition.md, 12-statistics.md, 25-evaluation.md, 30-reproducibility.md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