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Statistical Analysis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Statistical Analysis</w:t>
      </w:r>
    </w:p>
    <w:p>
      <w:r>
        <w:rPr>
          <w:sz w:val="20"/>
        </w:rPr>
        <w:t>Мова: Українська (default) | [English](12-statistics.en.md)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Biostatistics Lead</w:t>
      </w:r>
    </w:p>
    <w:p>
      <w:pPr>
        <w:pStyle w:val="ListBullet"/>
        <w:ind w:left="283"/>
      </w:pPr>
      <w:r>
        <w:rPr>
          <w:sz w:val="20"/>
        </w:rPr>
        <w:t>Contributors: Data Scientists, Research Analysts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Описати статистичний план для перевірки гіпотез, оцінки невизначеності та контролю помилок висновків.</w:t>
      </w:r>
    </w:p>
    <w:p>
      <w:pPr>
        <w:pStyle w:val="Heading2"/>
      </w:pPr>
      <w:r>
        <w:rPr>
          <w:color w:val="1A569A"/>
          <w:sz w:val="24"/>
        </w:rPr>
        <w:t>Analysis Principles</w:t>
      </w:r>
    </w:p>
    <w:p>
      <w:pPr>
        <w:pStyle w:val="ListBullet"/>
        <w:ind w:left="283"/>
      </w:pPr>
      <w:r>
        <w:rPr>
          <w:sz w:val="20"/>
        </w:rPr>
        <w:t>Effect sizes first, p-values second.</w:t>
      </w:r>
    </w:p>
    <w:p>
      <w:pPr>
        <w:pStyle w:val="ListBullet"/>
        <w:ind w:left="283"/>
      </w:pPr>
      <w:r>
        <w:rPr>
          <w:sz w:val="20"/>
        </w:rPr>
        <w:t>Confidence intervals for all primary effects.</w:t>
      </w:r>
    </w:p>
    <w:p>
      <w:pPr>
        <w:pStyle w:val="ListBullet"/>
        <w:ind w:left="283"/>
      </w:pPr>
      <w:r>
        <w:rPr>
          <w:sz w:val="20"/>
        </w:rPr>
        <w:t>Predefined hypothesis families.</w:t>
      </w:r>
    </w:p>
    <w:p>
      <w:pPr>
        <w:pStyle w:val="ListBullet"/>
        <w:ind w:left="283"/>
      </w:pPr>
      <w:r>
        <w:rPr>
          <w:sz w:val="20"/>
        </w:rPr>
        <w:t>Transparent handling of missing data.</w:t>
      </w:r>
    </w:p>
    <w:p>
      <w:pPr>
        <w:pStyle w:val="Heading2"/>
      </w:pPr>
      <w:r>
        <w:rPr>
          <w:color w:val="1A569A"/>
          <w:sz w:val="24"/>
        </w:rPr>
        <w:t>Primary Test Toolbox</w:t>
      </w:r>
    </w:p>
    <w:p>
      <w:pPr>
        <w:pStyle w:val="ListBullet"/>
        <w:ind w:left="283"/>
      </w:pPr>
      <w:r>
        <w:rPr>
          <w:sz w:val="20"/>
        </w:rPr>
        <w:t>Mann-Whitney U for non-normal two-group comparisons.</w:t>
      </w:r>
    </w:p>
    <w:p>
      <w:pPr>
        <w:pStyle w:val="ListBullet"/>
        <w:ind w:left="283"/>
      </w:pPr>
      <w:r>
        <w:rPr>
          <w:sz w:val="20"/>
        </w:rPr>
        <w:t>ANOVA / Welch ANOVA for multi-group comparisons.</w:t>
      </w:r>
    </w:p>
    <w:p>
      <w:pPr>
        <w:pStyle w:val="ListBullet"/>
        <w:ind w:left="283"/>
      </w:pPr>
      <w:r>
        <w:rPr>
          <w:sz w:val="20"/>
        </w:rPr>
        <w:t>Chi-square tests for categorical distributions.</w:t>
      </w:r>
    </w:p>
    <w:p>
      <w:pPr>
        <w:pStyle w:val="ListBullet"/>
        <w:ind w:left="283"/>
      </w:pPr>
      <w:r>
        <w:rPr>
          <w:sz w:val="20"/>
        </w:rPr>
        <w:t>Bootstrap intervals for unstable distributions.</w:t>
      </w:r>
    </w:p>
    <w:p>
      <w:pPr>
        <w:pStyle w:val="ListBullet"/>
        <w:ind w:left="283"/>
      </w:pPr>
      <w:r>
        <w:rPr>
          <w:sz w:val="20"/>
        </w:rPr>
        <w:t>ROC/AUPRC analysis for ranking quality.</w:t>
      </w:r>
    </w:p>
    <w:p>
      <w:pPr>
        <w:pStyle w:val="Heading2"/>
      </w:pPr>
      <w:r>
        <w:rPr>
          <w:color w:val="1A569A"/>
          <w:sz w:val="24"/>
        </w:rPr>
        <w:t>Calibration and Reliability</w:t>
      </w:r>
    </w:p>
    <w:p>
      <w:pPr>
        <w:pStyle w:val="ListBullet"/>
        <w:ind w:left="283"/>
      </w:pPr>
      <w:r>
        <w:rPr>
          <w:sz w:val="20"/>
        </w:rPr>
        <w:t>Brier score</w:t>
      </w:r>
    </w:p>
    <w:p>
      <w:pPr>
        <w:pStyle w:val="ListBullet"/>
        <w:ind w:left="283"/>
      </w:pPr>
      <w:r>
        <w:rPr>
          <w:sz w:val="20"/>
        </w:rPr>
        <w:t>Expected calibration error</w:t>
      </w:r>
    </w:p>
    <w:p>
      <w:pPr>
        <w:pStyle w:val="ListBullet"/>
        <w:ind w:left="283"/>
      </w:pPr>
      <w:r>
        <w:rPr>
          <w:sz w:val="20"/>
        </w:rPr>
        <w:t>Reliability curves by cohort</w:t>
      </w:r>
    </w:p>
    <w:p>
      <w:pPr>
        <w:pStyle w:val="Heading2"/>
      </w:pPr>
      <w:r>
        <w:rPr>
          <w:color w:val="1A569A"/>
          <w:sz w:val="24"/>
        </w:rPr>
        <w:t>Multiple Testing Control</w:t>
      </w:r>
    </w:p>
    <w:p>
      <w:pPr>
        <w:pStyle w:val="ListBullet"/>
        <w:ind w:left="283"/>
      </w:pPr>
      <w:r>
        <w:rPr>
          <w:sz w:val="20"/>
        </w:rPr>
        <w:t>FDR control for exploratory blocks.</w:t>
      </w:r>
    </w:p>
    <w:p>
      <w:pPr>
        <w:pStyle w:val="ListBullet"/>
        <w:ind w:left="283"/>
      </w:pPr>
      <w:r>
        <w:rPr>
          <w:sz w:val="20"/>
        </w:rPr>
        <w:t>Family-wise error control for confirmatory primary endpoints.</w:t>
      </w:r>
    </w:p>
    <w:p>
      <w:pPr>
        <w:pStyle w:val="Heading2"/>
      </w:pPr>
      <w:r>
        <w:rPr>
          <w:color w:val="1A569A"/>
          <w:sz w:val="24"/>
        </w:rPr>
        <w:t>Missing Data Policy</w:t>
      </w:r>
    </w:p>
    <w:p>
      <w:pPr>
        <w:pStyle w:val="ListBullet"/>
        <w:ind w:left="283"/>
      </w:pPr>
      <w:r>
        <w:rPr>
          <w:sz w:val="20"/>
        </w:rPr>
        <w:t>Missingness diagnostics (MCAR/MAR plausibility checks).</w:t>
      </w:r>
    </w:p>
    <w:p>
      <w:pPr>
        <w:pStyle w:val="ListBullet"/>
        <w:ind w:left="283"/>
      </w:pPr>
      <w:r>
        <w:rPr>
          <w:sz w:val="20"/>
        </w:rPr>
        <w:t>Multiple imputation where valid.</w:t>
      </w:r>
    </w:p>
    <w:p>
      <w:pPr>
        <w:pStyle w:val="ListBullet"/>
        <w:ind w:left="283"/>
      </w:pPr>
      <w:r>
        <w:rPr>
          <w:sz w:val="20"/>
        </w:rPr>
        <w:t>Sensitivity analysis with complete-case comparison.</w:t>
      </w:r>
    </w:p>
    <w:p>
      <w:pPr>
        <w:pStyle w:val="Heading2"/>
      </w:pPr>
      <w:r>
        <w:rPr>
          <w:color w:val="1A569A"/>
          <w:sz w:val="24"/>
        </w:rPr>
        <w:t>Drift and Temporal Analysis</w:t>
      </w:r>
    </w:p>
    <w:p>
      <w:pPr>
        <w:pStyle w:val="ListBullet"/>
        <w:ind w:left="283"/>
      </w:pPr>
      <w:r>
        <w:rPr>
          <w:sz w:val="20"/>
        </w:rPr>
        <w:t>Rolling-window metric deltas.</w:t>
      </w:r>
    </w:p>
    <w:p>
      <w:pPr>
        <w:pStyle w:val="ListBullet"/>
        <w:ind w:left="283"/>
      </w:pPr>
      <w:r>
        <w:rPr>
          <w:sz w:val="20"/>
        </w:rPr>
        <w:t>Change-point monitoring.</w:t>
      </w:r>
    </w:p>
    <w:p>
      <w:pPr>
        <w:pStyle w:val="ListBullet"/>
        <w:ind w:left="283"/>
      </w:pPr>
      <w:r>
        <w:rPr>
          <w:sz w:val="20"/>
        </w:rPr>
        <w:t>Confidence bounds for drift indicators.</w:t>
      </w:r>
    </w:p>
    <w:p>
      <w:pPr>
        <w:pStyle w:val="Heading2"/>
      </w:pPr>
      <w:r>
        <w:rPr>
          <w:color w:val="1A569A"/>
          <w:sz w:val="24"/>
        </w:rPr>
        <w:t>Practical Significance Thresholds</w:t>
      </w:r>
    </w:p>
    <w:p>
      <w:pPr>
        <w:pStyle w:val="ListBullet"/>
        <w:ind w:left="283"/>
      </w:pPr>
      <w:r>
        <w:rPr>
          <w:sz w:val="20"/>
        </w:rPr>
        <w:t>Define minimal important difference per metric.</w:t>
      </w:r>
    </w:p>
    <w:p>
      <w:pPr>
        <w:pStyle w:val="ListBullet"/>
        <w:ind w:left="283"/>
      </w:pPr>
      <w:r>
        <w:rPr>
          <w:sz w:val="20"/>
        </w:rPr>
        <w:t>Report both statistical and operational significance.</w:t>
      </w:r>
    </w:p>
    <w:p>
      <w:pPr>
        <w:pStyle w:val="Heading2"/>
      </w:pPr>
      <w:r>
        <w:rPr>
          <w:color w:val="1A569A"/>
          <w:sz w:val="24"/>
        </w:rPr>
        <w:t>Sample Size Logic</w:t>
      </w:r>
    </w:p>
    <w:p>
      <w:pPr>
        <w:pStyle w:val="ListBullet"/>
        <w:ind w:left="283"/>
      </w:pPr>
      <w:r>
        <w:rPr>
          <w:sz w:val="20"/>
        </w:rPr>
        <w:t>Power targets for primary comparisons.</w:t>
      </w:r>
    </w:p>
    <w:p>
      <w:pPr>
        <w:pStyle w:val="ListBullet"/>
        <w:ind w:left="283"/>
      </w:pPr>
      <w:r>
        <w:rPr>
          <w:sz w:val="20"/>
        </w:rPr>
        <w:t>Minimal conclusive sample per segment.</w:t>
      </w:r>
    </w:p>
    <w:p>
      <w:pPr>
        <w:pStyle w:val="ListBullet"/>
        <w:ind w:left="283"/>
      </w:pPr>
      <w:r>
        <w:rPr>
          <w:sz w:val="20"/>
        </w:rPr>
        <w:t>Early stopping and futility criteria for online tests.</w:t>
      </w:r>
    </w:p>
    <w:p>
      <w:pPr>
        <w:pStyle w:val="Heading2"/>
      </w:pPr>
      <w:r>
        <w:rPr>
          <w:color w:val="1A569A"/>
          <w:sz w:val="24"/>
        </w:rPr>
        <w:t>Reproducible Analysis Stack</w:t>
      </w:r>
    </w:p>
    <w:p>
      <w:pPr>
        <w:pStyle w:val="ListBullet"/>
        <w:ind w:left="283"/>
      </w:pPr>
      <w:r>
        <w:rPr>
          <w:sz w:val="20"/>
        </w:rPr>
        <w:t>Versioned scripts and manifests.</w:t>
      </w:r>
    </w:p>
    <w:p>
      <w:pPr>
        <w:pStyle w:val="ListBullet"/>
        <w:ind w:left="283"/>
      </w:pPr>
      <w:r>
        <w:rPr>
          <w:sz w:val="20"/>
        </w:rPr>
        <w:t>Fixed random seeds for bootstrap and splits.</w:t>
      </w:r>
    </w:p>
    <w:p>
      <w:pPr>
        <w:pStyle w:val="ListBullet"/>
        <w:ind w:left="283"/>
      </w:pPr>
      <w:r>
        <w:rPr>
          <w:sz w:val="20"/>
        </w:rPr>
        <w:t>Immutable run metadata references.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Для кожної RQ визначено статистичний тест і припущення.</w:t>
      </w:r>
    </w:p>
    <w:p>
      <w:pPr>
        <w:pStyle w:val="ListBullet"/>
        <w:ind w:left="283"/>
      </w:pPr>
      <w:r>
        <w:rPr>
          <w:sz w:val="20"/>
        </w:rPr>
        <w:t>Є план корекції на множинні порівняння.</w:t>
      </w:r>
    </w:p>
    <w:p>
      <w:pPr>
        <w:pStyle w:val="ListBullet"/>
        <w:ind w:left="283"/>
      </w:pPr>
      <w:r>
        <w:rPr>
          <w:sz w:val="20"/>
        </w:rPr>
        <w:t>Всі primary results мають CI + effect size.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05-research-questions.md, 06-methodology.md, 25-evaluation.md, 30-reproducibility.md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