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Bias Analysis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Bias Analysis</w:t>
      </w:r>
    </w:p>
    <w:p>
      <w:r>
        <w:rPr>
          <w:sz w:val="20"/>
        </w:rPr>
        <w:t>Мова: Українська (default) | [English](13-bias.en.md)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Responsible AI Lead</w:t>
      </w:r>
    </w:p>
    <w:p>
      <w:pPr>
        <w:pStyle w:val="ListBullet"/>
        <w:ind w:left="283"/>
      </w:pPr>
      <w:r>
        <w:rPr>
          <w:sz w:val="20"/>
        </w:rPr>
        <w:t>Contributors: Data Science, Ethics Lead, Product Analytics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підхід до виявлення, оцінки і зменшення bias у decision pipelines.</w:t>
      </w:r>
    </w:p>
    <w:p>
      <w:pPr>
        <w:pStyle w:val="Heading2"/>
      </w:pPr>
      <w:r>
        <w:rPr>
          <w:color w:val="1A569A"/>
          <w:sz w:val="24"/>
        </w:rPr>
        <w:t>Bias Risk Categories</w:t>
      </w:r>
    </w:p>
    <w:p>
      <w:pPr>
        <w:pStyle w:val="ListBullet"/>
        <w:ind w:left="283"/>
      </w:pPr>
      <w:r>
        <w:rPr>
          <w:sz w:val="20"/>
        </w:rPr>
        <w:t>Sampling bias</w:t>
      </w:r>
    </w:p>
    <w:p>
      <w:pPr>
        <w:pStyle w:val="ListBullet"/>
        <w:ind w:left="283"/>
      </w:pPr>
      <w:r>
        <w:rPr>
          <w:sz w:val="20"/>
        </w:rPr>
        <w:t>Participation bias</w:t>
      </w:r>
    </w:p>
    <w:p>
      <w:pPr>
        <w:pStyle w:val="ListBullet"/>
        <w:ind w:left="283"/>
      </w:pPr>
      <w:r>
        <w:rPr>
          <w:sz w:val="20"/>
        </w:rPr>
        <w:t>Measurement bias (self-report artifacts)</w:t>
      </w:r>
    </w:p>
    <w:p>
      <w:pPr>
        <w:pStyle w:val="ListBullet"/>
        <w:ind w:left="283"/>
      </w:pPr>
      <w:r>
        <w:rPr>
          <w:sz w:val="20"/>
        </w:rPr>
        <w:t>Label bias</w:t>
      </w:r>
    </w:p>
    <w:p>
      <w:pPr>
        <w:pStyle w:val="ListBullet"/>
        <w:ind w:left="283"/>
      </w:pPr>
      <w:r>
        <w:rPr>
          <w:sz w:val="20"/>
        </w:rPr>
        <w:t>Policy bias from threshold settings</w:t>
      </w:r>
    </w:p>
    <w:p>
      <w:pPr>
        <w:pStyle w:val="Heading2"/>
      </w:pPr>
      <w:r>
        <w:rPr>
          <w:color w:val="1A569A"/>
          <w:sz w:val="24"/>
        </w:rPr>
        <w:t>Analysis Dimensions</w:t>
      </w:r>
    </w:p>
    <w:p>
      <w:pPr>
        <w:pStyle w:val="ListBullet"/>
        <w:ind w:left="283"/>
      </w:pPr>
      <w:r>
        <w:rPr>
          <w:sz w:val="20"/>
        </w:rPr>
        <w:t>Across teams/company sizes.</w:t>
      </w:r>
    </w:p>
    <w:p>
      <w:pPr>
        <w:pStyle w:val="ListBullet"/>
        <w:ind w:left="283"/>
      </w:pPr>
      <w:r>
        <w:rPr>
          <w:sz w:val="20"/>
        </w:rPr>
        <w:t>Across engagement levels.</w:t>
      </w:r>
    </w:p>
    <w:p>
      <w:pPr>
        <w:pStyle w:val="ListBullet"/>
        <w:ind w:left="283"/>
      </w:pPr>
      <w:r>
        <w:rPr>
          <w:sz w:val="20"/>
        </w:rPr>
        <w:t>Across data completeness tiers.</w:t>
      </w:r>
    </w:p>
    <w:p>
      <w:pPr>
        <w:pStyle w:val="ListBullet"/>
        <w:ind w:left="283"/>
      </w:pPr>
      <w:r>
        <w:rPr>
          <w:sz w:val="20"/>
        </w:rPr>
        <w:t>Across temporal periods.</w:t>
      </w:r>
    </w:p>
    <w:p>
      <w:pPr>
        <w:pStyle w:val="Heading2"/>
      </w:pPr>
      <w:r>
        <w:rPr>
          <w:color w:val="1A569A"/>
          <w:sz w:val="24"/>
        </w:rPr>
        <w:t>Core Fairness Checks</w:t>
      </w:r>
    </w:p>
    <w:p>
      <w:pPr>
        <w:pStyle w:val="ListBullet"/>
        <w:ind w:left="283"/>
      </w:pPr>
      <w:r>
        <w:rPr>
          <w:sz w:val="20"/>
        </w:rPr>
        <w:t>Error rate comparison by segment.</w:t>
      </w:r>
    </w:p>
    <w:p>
      <w:pPr>
        <w:pStyle w:val="ListBullet"/>
        <w:ind w:left="283"/>
      </w:pPr>
      <w:r>
        <w:rPr>
          <w:sz w:val="20"/>
        </w:rPr>
        <w:t>Calibration parity checks.</w:t>
      </w:r>
    </w:p>
    <w:p>
      <w:pPr>
        <w:pStyle w:val="ListBullet"/>
        <w:ind w:left="283"/>
      </w:pPr>
      <w:r>
        <w:rPr>
          <w:sz w:val="20"/>
        </w:rPr>
        <w:t>Alert burden distribution.</w:t>
      </w:r>
    </w:p>
    <w:p>
      <w:pPr>
        <w:pStyle w:val="ListBullet"/>
        <w:ind w:left="283"/>
      </w:pPr>
      <w:r>
        <w:rPr>
          <w:sz w:val="20"/>
        </w:rPr>
        <w:t>Disagreement distribution (rules vs ML).</w:t>
      </w:r>
    </w:p>
    <w:p>
      <w:pPr>
        <w:pStyle w:val="Heading2"/>
      </w:pPr>
      <w:r>
        <w:rPr>
          <w:color w:val="1A569A"/>
          <w:sz w:val="24"/>
        </w:rPr>
        <w:t>Mitigation Toolkit</w:t>
      </w:r>
    </w:p>
    <w:p>
      <w:pPr>
        <w:pStyle w:val="ListBullet"/>
        <w:ind w:left="283"/>
      </w:pPr>
      <w:r>
        <w:rPr>
          <w:sz w:val="20"/>
        </w:rPr>
        <w:t>Reweighting and resampling.</w:t>
      </w:r>
    </w:p>
    <w:p>
      <w:pPr>
        <w:pStyle w:val="ListBullet"/>
        <w:ind w:left="283"/>
      </w:pPr>
      <w:r>
        <w:rPr>
          <w:sz w:val="20"/>
        </w:rPr>
        <w:t>Segment-aware threshold calibration.</w:t>
      </w:r>
    </w:p>
    <w:p>
      <w:pPr>
        <w:pStyle w:val="ListBullet"/>
        <w:ind w:left="283"/>
      </w:pPr>
      <w:r>
        <w:rPr>
          <w:sz w:val="20"/>
        </w:rPr>
        <w:t>Feature revision/removal for problematic proxies.</w:t>
      </w:r>
    </w:p>
    <w:p>
      <w:pPr>
        <w:pStyle w:val="ListBullet"/>
        <w:ind w:left="283"/>
      </w:pPr>
      <w:r>
        <w:rPr>
          <w:sz w:val="20"/>
        </w:rPr>
        <w:t>Policy guardrails for vulnerable segments.</w:t>
      </w:r>
    </w:p>
    <w:p>
      <w:pPr>
        <w:pStyle w:val="Heading2"/>
      </w:pPr>
      <w:r>
        <w:rPr>
          <w:color w:val="1A569A"/>
          <w:sz w:val="24"/>
        </w:rPr>
        <w:t>Monitoring Cadence</w:t>
      </w:r>
    </w:p>
    <w:p>
      <w:pPr>
        <w:pStyle w:val="ListBullet"/>
        <w:ind w:left="283"/>
      </w:pPr>
      <w:r>
        <w:rPr>
          <w:sz w:val="20"/>
        </w:rPr>
        <w:t>Pre-release bias audit.</w:t>
      </w:r>
    </w:p>
    <w:p>
      <w:pPr>
        <w:pStyle w:val="ListBullet"/>
        <w:ind w:left="283"/>
      </w:pPr>
      <w:r>
        <w:rPr>
          <w:sz w:val="20"/>
        </w:rPr>
        <w:t>Rolling production bias dashboards.</w:t>
      </w:r>
    </w:p>
    <w:p>
      <w:pPr>
        <w:pStyle w:val="ListBullet"/>
        <w:ind w:left="283"/>
      </w:pPr>
      <w:r>
        <w:rPr>
          <w:sz w:val="20"/>
        </w:rPr>
        <w:t>Trigger-based deep-dive review.</w:t>
      </w:r>
    </w:p>
    <w:p>
      <w:pPr>
        <w:pStyle w:val="Heading2"/>
      </w:pPr>
      <w:r>
        <w:rPr>
          <w:color w:val="1A569A"/>
          <w:sz w:val="24"/>
        </w:rPr>
        <w:t>Governance</w:t>
      </w:r>
    </w:p>
    <w:p>
      <w:pPr>
        <w:pStyle w:val="ListBullet"/>
        <w:ind w:left="283"/>
      </w:pPr>
      <w:r>
        <w:rPr>
          <w:sz w:val="20"/>
        </w:rPr>
        <w:t>Bias findings logged with severity and owner.</w:t>
      </w:r>
    </w:p>
    <w:p>
      <w:pPr>
        <w:pStyle w:val="ListBullet"/>
        <w:ind w:left="283"/>
      </w:pPr>
      <w:r>
        <w:rPr>
          <w:sz w:val="20"/>
        </w:rPr>
        <w:t>Mandatory mitigation plan for medium/high risk findings.</w:t>
      </w:r>
    </w:p>
    <w:p>
      <w:pPr>
        <w:pStyle w:val="ListBullet"/>
        <w:ind w:left="283"/>
      </w:pPr>
      <w:r>
        <w:rPr>
          <w:sz w:val="20"/>
        </w:rPr>
        <w:t>Ethics board escalation for unresolved critical bias.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Bias analysis інтегровано у release gates.</w:t>
      </w:r>
    </w:p>
    <w:p>
      <w:pPr>
        <w:pStyle w:val="ListBullet"/>
        <w:ind w:left="283"/>
      </w:pPr>
      <w:r>
        <w:rPr>
          <w:sz w:val="20"/>
        </w:rPr>
        <w:t>Є evidence that mitigations reduce detected disparities.</w:t>
      </w:r>
    </w:p>
    <w:p>
      <w:pPr>
        <w:pStyle w:val="ListBullet"/>
        <w:ind w:left="283"/>
      </w:pPr>
      <w:r>
        <w:rPr>
          <w:sz w:val="20"/>
        </w:rPr>
        <w:t>Bias status включено в регулярний evaluation report.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12-statistics.md, 14-data-quality.md, 37-ethics.md, 44-risk-management.md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