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Data Quality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Data Quality</w:t>
      </w:r>
    </w:p>
    <w:p>
      <w:r>
        <w:rPr>
          <w:sz w:val="20"/>
        </w:rPr>
        <w:t>Мова: Українська (default) | [English](14-data-quality.en.md)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Data Quality Lead</w:t>
      </w:r>
    </w:p>
    <w:p>
      <w:pPr>
        <w:pStyle w:val="ListBullet"/>
        <w:ind w:left="283"/>
      </w:pPr>
      <w:r>
        <w:rPr>
          <w:sz w:val="20"/>
        </w:rPr>
        <w:t>Contributors: Data Platform, ML Team, Research Ops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framework контролю якості даних для стабільних рішень і коректної наукової валідації.</w:t>
      </w:r>
    </w:p>
    <w:p>
      <w:pPr>
        <w:pStyle w:val="Heading2"/>
      </w:pPr>
      <w:r>
        <w:rPr>
          <w:color w:val="1A569A"/>
          <w:sz w:val="24"/>
        </w:rPr>
        <w:t>Quality Dimensions</w:t>
      </w:r>
    </w:p>
    <w:p>
      <w:pPr>
        <w:pStyle w:val="ListBullet"/>
        <w:ind w:left="283"/>
      </w:pPr>
      <w:r>
        <w:rPr>
          <w:sz w:val="20"/>
        </w:rPr>
        <w:t>Completeness</w:t>
      </w:r>
    </w:p>
    <w:p>
      <w:pPr>
        <w:pStyle w:val="ListBullet"/>
        <w:ind w:left="283"/>
      </w:pPr>
      <w:r>
        <w:rPr>
          <w:sz w:val="20"/>
        </w:rPr>
        <w:t>Consistency</w:t>
      </w:r>
    </w:p>
    <w:p>
      <w:pPr>
        <w:pStyle w:val="ListBullet"/>
        <w:ind w:left="283"/>
      </w:pPr>
      <w:r>
        <w:rPr>
          <w:sz w:val="20"/>
        </w:rPr>
        <w:t>Accuracy (where verifiable)</w:t>
      </w:r>
    </w:p>
    <w:p>
      <w:pPr>
        <w:pStyle w:val="ListBullet"/>
        <w:ind w:left="283"/>
      </w:pPr>
      <w:r>
        <w:rPr>
          <w:sz w:val="20"/>
        </w:rPr>
        <w:t>Timeliness</w:t>
      </w:r>
    </w:p>
    <w:p>
      <w:pPr>
        <w:pStyle w:val="ListBullet"/>
        <w:ind w:left="283"/>
      </w:pPr>
      <w:r>
        <w:rPr>
          <w:sz w:val="20"/>
        </w:rPr>
        <w:t>Uniqueness</w:t>
      </w:r>
    </w:p>
    <w:p>
      <w:pPr>
        <w:pStyle w:val="ListBullet"/>
        <w:ind w:left="283"/>
      </w:pPr>
      <w:r>
        <w:rPr>
          <w:sz w:val="20"/>
        </w:rPr>
        <w:t>Validity</w:t>
      </w:r>
    </w:p>
    <w:p>
      <w:pPr>
        <w:pStyle w:val="Heading2"/>
      </w:pPr>
      <w:r>
        <w:rPr>
          <w:color w:val="1A569A"/>
          <w:sz w:val="24"/>
        </w:rPr>
        <w:t>Quality Rules</w:t>
      </w:r>
    </w:p>
    <w:p>
      <w:pPr>
        <w:pStyle w:val="ListBullet"/>
        <w:ind w:left="283"/>
      </w:pPr>
      <w:r>
        <w:rPr>
          <w:sz w:val="20"/>
        </w:rPr>
        <w:t>Schema conformance checks.</w:t>
      </w:r>
    </w:p>
    <w:p>
      <w:pPr>
        <w:pStyle w:val="ListBullet"/>
        <w:ind w:left="283"/>
      </w:pPr>
      <w:r>
        <w:rPr>
          <w:sz w:val="20"/>
        </w:rPr>
        <w:t>Mandatory field thresholds by dataset type.</w:t>
      </w:r>
    </w:p>
    <w:p>
      <w:pPr>
        <w:pStyle w:val="ListBullet"/>
        <w:ind w:left="283"/>
      </w:pPr>
      <w:r>
        <w:rPr>
          <w:sz w:val="20"/>
        </w:rPr>
        <w:t>Range and logical constraints.</w:t>
      </w:r>
    </w:p>
    <w:p>
      <w:pPr>
        <w:pStyle w:val="ListBullet"/>
        <w:ind w:left="283"/>
      </w:pPr>
      <w:r>
        <w:rPr>
          <w:sz w:val="20"/>
        </w:rPr>
        <w:t>Duplicate and anomaly detection.</w:t>
      </w:r>
    </w:p>
    <w:p>
      <w:pPr>
        <w:pStyle w:val="Heading2"/>
      </w:pPr>
      <w:r>
        <w:rPr>
          <w:color w:val="1A569A"/>
          <w:sz w:val="24"/>
        </w:rPr>
        <w:t>Quality Scoring</w:t>
      </w:r>
    </w:p>
    <w:p>
      <w:pPr>
        <w:pStyle w:val="ListBullet"/>
        <w:ind w:left="283"/>
      </w:pPr>
      <w:r>
        <w:rPr>
          <w:sz w:val="20"/>
        </w:rPr>
        <w:t>Dataset-level quality score.</w:t>
      </w:r>
    </w:p>
    <w:p>
      <w:pPr>
        <w:pStyle w:val="ListBullet"/>
        <w:ind w:left="283"/>
      </w:pPr>
      <w:r>
        <w:rPr>
          <w:sz w:val="20"/>
        </w:rPr>
        <w:t>Feature-level quality flags.</w:t>
      </w:r>
    </w:p>
    <w:p>
      <w:pPr>
        <w:pStyle w:val="ListBullet"/>
        <w:ind w:left="283"/>
      </w:pPr>
      <w:r>
        <w:rPr>
          <w:sz w:val="20"/>
        </w:rPr>
        <w:t>Decision-time quality indicators.</w:t>
      </w:r>
    </w:p>
    <w:p>
      <w:pPr>
        <w:pStyle w:val="Heading2"/>
      </w:pPr>
      <w:r>
        <w:rPr>
          <w:color w:val="1A569A"/>
          <w:sz w:val="24"/>
        </w:rPr>
        <w:t>Missing Data Strategy</w:t>
      </w:r>
    </w:p>
    <w:p>
      <w:pPr>
        <w:pStyle w:val="ListBullet"/>
        <w:ind w:left="283"/>
      </w:pPr>
      <w:r>
        <w:rPr>
          <w:sz w:val="20"/>
        </w:rPr>
        <w:t>Structured null taxonomy.</w:t>
      </w:r>
    </w:p>
    <w:p>
      <w:pPr>
        <w:pStyle w:val="ListBullet"/>
        <w:ind w:left="283"/>
      </w:pPr>
      <w:r>
        <w:rPr>
          <w:sz w:val="20"/>
        </w:rPr>
        <w:t>Imputation only where methodologically justified.</w:t>
      </w:r>
    </w:p>
    <w:p>
      <w:pPr>
        <w:pStyle w:val="ListBullet"/>
        <w:ind w:left="283"/>
      </w:pPr>
      <w:r>
        <w:rPr>
          <w:sz w:val="20"/>
        </w:rPr>
        <w:t>Missingness-aware model features.</w:t>
      </w:r>
    </w:p>
    <w:p>
      <w:pPr>
        <w:pStyle w:val="Heading2"/>
      </w:pPr>
      <w:r>
        <w:rPr>
          <w:color w:val="1A569A"/>
          <w:sz w:val="24"/>
        </w:rPr>
        <w:t>Drift and Freshness</w:t>
      </w:r>
    </w:p>
    <w:p>
      <w:pPr>
        <w:pStyle w:val="ListBullet"/>
        <w:ind w:left="283"/>
      </w:pPr>
      <w:r>
        <w:rPr>
          <w:sz w:val="20"/>
        </w:rPr>
        <w:t>Freshness SLAs by data source.</w:t>
      </w:r>
    </w:p>
    <w:p>
      <w:pPr>
        <w:pStyle w:val="ListBullet"/>
        <w:ind w:left="283"/>
      </w:pPr>
      <w:r>
        <w:rPr>
          <w:sz w:val="20"/>
        </w:rPr>
        <w:t>Drift alerts for critical distributions.</w:t>
      </w:r>
    </w:p>
    <w:p>
      <w:pPr>
        <w:pStyle w:val="ListBullet"/>
        <w:ind w:left="283"/>
      </w:pPr>
      <w:r>
        <w:rPr>
          <w:sz w:val="20"/>
        </w:rPr>
        <w:t>Source outage and lag monitoring.</w:t>
      </w:r>
    </w:p>
    <w:p>
      <w:pPr>
        <w:pStyle w:val="Heading2"/>
      </w:pPr>
      <w:r>
        <w:rPr>
          <w:color w:val="1A569A"/>
          <w:sz w:val="24"/>
        </w:rPr>
        <w:t>Quality Incident Workflow</w:t>
      </w:r>
    </w:p>
    <w:p>
      <w:pPr>
        <w:pStyle w:val="ListBullet"/>
        <w:ind w:left="283"/>
      </w:pPr>
      <w:r>
        <w:rPr>
          <w:sz w:val="20"/>
        </w:rPr>
        <w:t>Detection -&gt; triage -&gt; owner assignment -&gt; remediation.</w:t>
      </w:r>
    </w:p>
    <w:p>
      <w:pPr>
        <w:pStyle w:val="ListBullet"/>
        <w:ind w:left="283"/>
      </w:pPr>
      <w:r>
        <w:rPr>
          <w:sz w:val="20"/>
        </w:rPr>
        <w:t>Incident severity levels and deadlines.</w:t>
      </w:r>
    </w:p>
    <w:p>
      <w:pPr>
        <w:pStyle w:val="ListBullet"/>
        <w:ind w:left="283"/>
      </w:pPr>
      <w:r>
        <w:rPr>
          <w:sz w:val="20"/>
        </w:rPr>
        <w:t>Post-incident root cause report.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Критичні pipelines мають automated quality gates.</w:t>
      </w:r>
    </w:p>
    <w:p>
      <w:pPr>
        <w:pStyle w:val="ListBullet"/>
        <w:ind w:left="283"/>
      </w:pPr>
      <w:r>
        <w:rPr>
          <w:sz w:val="20"/>
        </w:rPr>
        <w:t>Quality status доступний для evaluation reports.</w:t>
      </w:r>
    </w:p>
    <w:p>
      <w:pPr>
        <w:pStyle w:val="ListBullet"/>
        <w:ind w:left="283"/>
      </w:pPr>
      <w:r>
        <w:rPr>
          <w:sz w:val="20"/>
        </w:rPr>
        <w:t>Є historical quality dashboard для trend analysis.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08-dataset-specification.md, 09-feature-engineering.md, 25-evaluation.md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