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DIP Architecture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DIP Architecture</w:t>
      </w:r>
    </w:p>
    <w:p>
      <w:r>
        <w:rPr>
          <w:sz w:val="20"/>
        </w:rPr>
        <w:t>Мова: Українська (default) | [English](15-dip-architecture.en.md)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Platform Architect</w:t>
      </w:r>
    </w:p>
    <w:p>
      <w:pPr>
        <w:pStyle w:val="ListBullet"/>
        <w:ind w:left="283"/>
      </w:pPr>
      <w:r>
        <w:rPr>
          <w:sz w:val="20"/>
        </w:rPr>
        <w:t>Contributors: Backend Lead, ML Lead, DevOps Lead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 aligned with current implementation baseline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архітектуру DIP як platform core для decision intelligence та показати зв'язок між research-компонентами і production використанням у Dzvin.co.</w:t>
      </w:r>
    </w:p>
    <w:p>
      <w:pPr>
        <w:pStyle w:val="Heading2"/>
      </w:pPr>
      <w:r>
        <w:rPr>
          <w:color w:val="1A569A"/>
          <w:sz w:val="24"/>
        </w:rPr>
        <w:t>Architecture Goal</w:t>
      </w:r>
    </w:p>
    <w:p>
      <w:r>
        <w:rPr>
          <w:sz w:val="20"/>
        </w:rPr>
        <w:t>DIP має надавати доменно-агностичний набір сервісів для:</w:t>
      </w:r>
    </w:p>
    <w:p>
      <w:pPr>
        <w:pStyle w:val="ListBullet"/>
        <w:ind w:left="283"/>
      </w:pPr>
      <w:r>
        <w:rPr>
          <w:sz w:val="20"/>
        </w:rPr>
        <w:t>формування рішень;</w:t>
      </w:r>
    </w:p>
    <w:p>
      <w:pPr>
        <w:pStyle w:val="ListBullet"/>
        <w:ind w:left="283"/>
      </w:pPr>
      <w:r>
        <w:rPr>
          <w:sz w:val="20"/>
        </w:rPr>
        <w:t>пояснення рішень;</w:t>
      </w:r>
    </w:p>
    <w:p>
      <w:pPr>
        <w:pStyle w:val="ListBullet"/>
        <w:ind w:left="283"/>
      </w:pPr>
      <w:r>
        <w:rPr>
          <w:sz w:val="20"/>
        </w:rPr>
        <w:t>контролю якості рішень у часі;</w:t>
      </w:r>
    </w:p>
    <w:p>
      <w:pPr>
        <w:pStyle w:val="ListBullet"/>
        <w:ind w:left="283"/>
      </w:pPr>
      <w:r>
        <w:rPr>
          <w:sz w:val="20"/>
        </w:rPr>
        <w:t>безпечної інтеграції з domain applications.</w:t>
      </w:r>
    </w:p>
    <w:p>
      <w:pPr>
        <w:pStyle w:val="Heading2"/>
      </w:pPr>
      <w:r>
        <w:rPr>
          <w:color w:val="1A569A"/>
          <w:sz w:val="24"/>
        </w:rPr>
        <w:t>High-Level Topology</w:t>
      </w:r>
    </w:p>
    <w:p>
      <w:r>
        <w:rPr>
          <w:sz w:val="20"/>
        </w:rPr>
        <w:t>Application (Dzvin.co)</w:t>
      </w:r>
    </w:p>
    <w:p>
      <w:r>
        <w:rPr>
          <w:sz w:val="20"/>
        </w:rPr>
        <w:t>-&gt; Adapter / Integration Layer</w:t>
      </w:r>
    </w:p>
    <w:p>
      <w:r>
        <w:rPr>
          <w:sz w:val="20"/>
        </w:rPr>
        <w:t>-&gt; DIP API Surface</w:t>
      </w:r>
    </w:p>
    <w:p>
      <w:r>
        <w:rPr>
          <w:sz w:val="20"/>
        </w:rPr>
        <w:t>-&gt; Decision and Intelligence Engines</w:t>
      </w:r>
    </w:p>
    <w:p>
      <w:r>
        <w:rPr>
          <w:sz w:val="20"/>
        </w:rPr>
        <w:t>-&gt; Stores and Audit Infrastructure</w:t>
      </w:r>
    </w:p>
    <w:p>
      <w:pPr>
        <w:pStyle w:val="Heading2"/>
      </w:pPr>
      <w:r>
        <w:rPr>
          <w:color w:val="1A569A"/>
          <w:sz w:val="24"/>
        </w:rPr>
        <w:t>Layered View</w:t>
      </w:r>
    </w:p>
    <w:p>
      <w:pPr>
        <w:pStyle w:val="Heading3"/>
      </w:pPr>
      <w:r>
        <w:rPr>
          <w:color w:val="2E75B6"/>
          <w:sz w:val="22"/>
        </w:rPr>
        <w:t>1) Interface Layer</w:t>
      </w:r>
    </w:p>
    <w:p>
      <w:pPr>
        <w:pStyle w:val="ListBullet"/>
        <w:ind w:left="283"/>
      </w:pPr>
      <w:r>
        <w:rPr>
          <w:sz w:val="20"/>
        </w:rPr>
        <w:t>REST endpoints для decision/prediction/workflow execution.</w:t>
      </w:r>
    </w:p>
    <w:p>
      <w:pPr>
        <w:pStyle w:val="ListBullet"/>
        <w:ind w:left="283"/>
      </w:pPr>
      <w:r>
        <w:rPr>
          <w:sz w:val="20"/>
        </w:rPr>
        <w:t>API-key / tenant-aware access controls.</w:t>
      </w:r>
    </w:p>
    <w:p>
      <w:pPr>
        <w:pStyle w:val="ListBullet"/>
        <w:ind w:left="283"/>
      </w:pPr>
      <w:r>
        <w:rPr>
          <w:sz w:val="20"/>
        </w:rPr>
        <w:t>Input validation і contract-level error handling.</w:t>
      </w:r>
    </w:p>
    <w:p>
      <w:pPr>
        <w:pStyle w:val="Heading3"/>
      </w:pPr>
      <w:r>
        <w:rPr>
          <w:color w:val="2E75B6"/>
          <w:sz w:val="22"/>
        </w:rPr>
        <w:t>2) Application Orchestration Layer</w:t>
      </w:r>
    </w:p>
    <w:p>
      <w:pPr>
        <w:pStyle w:val="ListBullet"/>
        <w:ind w:left="283"/>
      </w:pPr>
      <w:r>
        <w:rPr>
          <w:sz w:val="20"/>
        </w:rPr>
        <w:t>Workflow orchestration.</w:t>
      </w:r>
    </w:p>
    <w:p>
      <w:pPr>
        <w:pStyle w:val="ListBullet"/>
        <w:ind w:left="283"/>
      </w:pPr>
      <w:r>
        <w:rPr>
          <w:sz w:val="20"/>
        </w:rPr>
        <w:t>Job execution sync/async.</w:t>
      </w:r>
    </w:p>
    <w:p>
      <w:pPr>
        <w:pStyle w:val="ListBullet"/>
        <w:ind w:left="283"/>
      </w:pPr>
      <w:r>
        <w:rPr>
          <w:sz w:val="20"/>
        </w:rPr>
        <w:t>Routing до rule/prediction components.</w:t>
      </w:r>
    </w:p>
    <w:p>
      <w:pPr>
        <w:pStyle w:val="Heading3"/>
      </w:pPr>
      <w:r>
        <w:rPr>
          <w:color w:val="2E75B6"/>
          <w:sz w:val="22"/>
        </w:rPr>
        <w:t>3) Domain Intelligence Layer</w:t>
      </w:r>
    </w:p>
    <w:p>
      <w:pPr>
        <w:pStyle w:val="ListBullet"/>
        <w:ind w:left="283"/>
      </w:pPr>
      <w:r>
        <w:rPr>
          <w:sz w:val="20"/>
        </w:rPr>
        <w:t>Rule and workflow entities.</w:t>
      </w:r>
    </w:p>
    <w:p>
      <w:pPr>
        <w:pStyle w:val="ListBullet"/>
        <w:ind w:left="283"/>
      </w:pPr>
      <w:r>
        <w:rPr>
          <w:sz w:val="20"/>
        </w:rPr>
        <w:t>Decision output contract: decision, matched conditions, actions, explanation, confidence (where available).</w:t>
      </w:r>
    </w:p>
    <w:p>
      <w:pPr>
        <w:pStyle w:val="ListBullet"/>
        <w:ind w:left="283"/>
      </w:pPr>
      <w:r>
        <w:rPr>
          <w:sz w:val="20"/>
        </w:rPr>
        <w:t>Trace objects для reproducibility.</w:t>
      </w:r>
    </w:p>
    <w:p>
      <w:pPr>
        <w:pStyle w:val="Heading3"/>
      </w:pPr>
      <w:r>
        <w:rPr>
          <w:color w:val="2E75B6"/>
          <w:sz w:val="22"/>
        </w:rPr>
        <w:t>4) Data and State Layer</w:t>
      </w:r>
    </w:p>
    <w:p>
      <w:pPr>
        <w:pStyle w:val="ListBullet"/>
        <w:ind w:left="283"/>
      </w:pPr>
      <w:r>
        <w:rPr>
          <w:sz w:val="20"/>
        </w:rPr>
        <w:t>Workflow definitions and related metadata.</w:t>
      </w:r>
    </w:p>
    <w:p>
      <w:pPr>
        <w:pStyle w:val="ListBullet"/>
        <w:ind w:left="283"/>
      </w:pPr>
      <w:r>
        <w:rPr>
          <w:sz w:val="20"/>
        </w:rPr>
        <w:t>Event storage for decision events.</w:t>
      </w:r>
    </w:p>
    <w:p>
      <w:pPr>
        <w:pStyle w:val="ListBullet"/>
        <w:ind w:left="283"/>
      </w:pPr>
      <w:r>
        <w:rPr>
          <w:sz w:val="20"/>
        </w:rPr>
        <w:t>Audit repository for decision execution trace.</w:t>
      </w:r>
    </w:p>
    <w:p>
      <w:pPr>
        <w:pStyle w:val="ListBullet"/>
        <w:ind w:left="283"/>
      </w:pPr>
      <w:r>
        <w:rPr>
          <w:sz w:val="20"/>
        </w:rPr>
        <w:t>Optional model/feature registries in extended roadmap.</w:t>
      </w:r>
    </w:p>
    <w:p>
      <w:pPr>
        <w:pStyle w:val="Heading3"/>
      </w:pPr>
      <w:r>
        <w:rPr>
          <w:color w:val="2E75B6"/>
          <w:sz w:val="22"/>
        </w:rPr>
        <w:t>5) Governance and Observability Layer</w:t>
      </w:r>
    </w:p>
    <w:p>
      <w:pPr>
        <w:pStyle w:val="ListBullet"/>
        <w:ind w:left="283"/>
      </w:pPr>
      <w:r>
        <w:rPr>
          <w:sz w:val="20"/>
        </w:rPr>
        <w:t>Audit trails.</w:t>
      </w:r>
    </w:p>
    <w:p>
      <w:pPr>
        <w:pStyle w:val="ListBullet"/>
        <w:ind w:left="283"/>
      </w:pPr>
      <w:r>
        <w:rPr>
          <w:sz w:val="20"/>
        </w:rPr>
        <w:t>Policy controls and diagnostics integration points.</w:t>
      </w:r>
    </w:p>
    <w:p>
      <w:pPr>
        <w:pStyle w:val="ListBullet"/>
        <w:ind w:left="283"/>
      </w:pPr>
      <w:r>
        <w:rPr>
          <w:sz w:val="20"/>
        </w:rPr>
        <w:t>Monitoring metrics and incident hooks.</w:t>
      </w:r>
    </w:p>
    <w:p>
      <w:pPr>
        <w:pStyle w:val="Heading2"/>
      </w:pPr>
      <w:r>
        <w:rPr>
          <w:color w:val="1A569A"/>
          <w:sz w:val="24"/>
        </w:rPr>
        <w:t>Integration Contract with Dzvin.co</w:t>
      </w:r>
    </w:p>
    <w:p>
      <w:r>
        <w:rPr>
          <w:sz w:val="20"/>
        </w:rPr>
        <w:t>Принципи інтеграції:</w:t>
      </w:r>
    </w:p>
    <w:p>
      <w:pPr>
        <w:pStyle w:val="ListBullet"/>
        <w:ind w:left="283"/>
      </w:pPr>
      <w:r>
        <w:rPr>
          <w:sz w:val="20"/>
        </w:rPr>
        <w:t>комунікація через публічні API, без прямого доступу до internal DIP storage;</w:t>
      </w:r>
    </w:p>
    <w:p>
      <w:pPr>
        <w:pStyle w:val="ListBullet"/>
        <w:ind w:left="283"/>
      </w:pPr>
      <w:r>
        <w:rPr>
          <w:sz w:val="20"/>
        </w:rPr>
        <w:t>tenant-scoped execution контекст;</w:t>
      </w:r>
    </w:p>
    <w:p>
      <w:pPr>
        <w:pStyle w:val="ListBullet"/>
        <w:ind w:left="283"/>
      </w:pPr>
      <w:r>
        <w:rPr>
          <w:sz w:val="20"/>
        </w:rPr>
        <w:t>явне передавання feature payload і workflow selection;</w:t>
      </w:r>
    </w:p>
    <w:p>
      <w:pPr>
        <w:pStyle w:val="ListBullet"/>
        <w:ind w:left="283"/>
      </w:pPr>
      <w:r>
        <w:rPr>
          <w:sz w:val="20"/>
        </w:rPr>
        <w:t>повернення структурованих decision artifacts для B2B/B2C surfaces.</w:t>
      </w:r>
    </w:p>
    <w:p>
      <w:pPr>
        <w:pStyle w:val="Heading2"/>
      </w:pPr>
      <w:r>
        <w:rPr>
          <w:color w:val="1A569A"/>
          <w:sz w:val="24"/>
        </w:rPr>
        <w:t>Current Baseline Capabilities (Verified)</w:t>
      </w:r>
    </w:p>
    <w:p>
      <w:pPr>
        <w:pStyle w:val="ListBullet"/>
        <w:ind w:left="283"/>
      </w:pPr>
      <w:r>
        <w:rPr>
          <w:sz w:val="20"/>
        </w:rPr>
        <w:t>Workflow/rule evaluation endpoint із trace.</w:t>
      </w:r>
    </w:p>
    <w:p>
      <w:pPr>
        <w:pStyle w:val="ListBullet"/>
        <w:ind w:left="283"/>
      </w:pPr>
      <w:r>
        <w:rPr>
          <w:sz w:val="20"/>
        </w:rPr>
        <w:t>Decision events and audit records.</w:t>
      </w:r>
    </w:p>
    <w:p>
      <w:pPr>
        <w:pStyle w:val="ListBullet"/>
        <w:ind w:left="283"/>
      </w:pPr>
      <w:r>
        <w:rPr>
          <w:sz w:val="20"/>
        </w:rPr>
        <w:t>Prediction endpoint з deterministic fallback mode.</w:t>
      </w:r>
    </w:p>
    <w:p>
      <w:pPr>
        <w:pStyle w:val="ListBullet"/>
        <w:ind w:left="283"/>
      </w:pPr>
      <w:r>
        <w:rPr>
          <w:sz w:val="20"/>
        </w:rPr>
        <w:t>Async job pattern для decision execution.</w:t>
      </w:r>
    </w:p>
    <w:p>
      <w:pPr>
        <w:pStyle w:val="ListBullet"/>
        <w:ind w:left="283"/>
      </w:pPr>
      <w:r>
        <w:rPr>
          <w:sz w:val="20"/>
        </w:rPr>
        <w:t>RBAC/permission hooks для decision execution.</w:t>
      </w:r>
    </w:p>
    <w:p>
      <w:pPr>
        <w:pStyle w:val="Heading2"/>
      </w:pPr>
      <w:r>
        <w:rPr>
          <w:color w:val="1A569A"/>
          <w:sz w:val="24"/>
        </w:rPr>
        <w:t>Planned R&amp;D Extensions</w:t>
      </w:r>
    </w:p>
    <w:p>
      <w:pPr>
        <w:pStyle w:val="ListBullet"/>
        <w:ind w:left="283"/>
      </w:pPr>
      <w:r>
        <w:rPr>
          <w:sz w:val="20"/>
        </w:rPr>
        <w:t>Feature store versioning and lineage.</w:t>
      </w:r>
    </w:p>
    <w:p>
      <w:pPr>
        <w:pStyle w:val="ListBullet"/>
        <w:ind w:left="283"/>
      </w:pPr>
      <w:r>
        <w:rPr>
          <w:sz w:val="20"/>
        </w:rPr>
        <w:t>Model registry governance (approval/rollback lifecycle).</w:t>
      </w:r>
    </w:p>
    <w:p>
      <w:pPr>
        <w:pStyle w:val="ListBullet"/>
        <w:ind w:left="283"/>
      </w:pPr>
      <w:r>
        <w:rPr>
          <w:sz w:val="20"/>
        </w:rPr>
        <w:t>Drift detection and automated retraining triggers.</w:t>
      </w:r>
    </w:p>
    <w:p>
      <w:pPr>
        <w:pStyle w:val="ListBullet"/>
        <w:ind w:left="283"/>
      </w:pPr>
      <w:r>
        <w:rPr>
          <w:sz w:val="20"/>
        </w:rPr>
        <w:t>Unified experiment tracking bridge.</w:t>
      </w:r>
    </w:p>
    <w:p>
      <w:pPr>
        <w:pStyle w:val="ListBullet"/>
        <w:ind w:left="283"/>
      </w:pPr>
      <w:r>
        <w:rPr>
          <w:sz w:val="20"/>
        </w:rPr>
        <w:t>Plugin SDK hardening for third-party extensions.</w:t>
      </w:r>
    </w:p>
    <w:p>
      <w:pPr>
        <w:pStyle w:val="Heading2"/>
      </w:pPr>
      <w:r>
        <w:rPr>
          <w:color w:val="1A569A"/>
          <w:sz w:val="24"/>
        </w:rPr>
        <w:t>Security and Privacy by Design</w:t>
      </w:r>
    </w:p>
    <w:p>
      <w:pPr>
        <w:pStyle w:val="ListBullet"/>
        <w:ind w:left="283"/>
      </w:pPr>
      <w:r>
        <w:rPr>
          <w:sz w:val="20"/>
        </w:rPr>
        <w:t>Tenant isolation at request handling and repository access.</w:t>
      </w:r>
    </w:p>
    <w:p>
      <w:pPr>
        <w:pStyle w:val="ListBullet"/>
        <w:ind w:left="283"/>
      </w:pPr>
      <w:r>
        <w:rPr>
          <w:sz w:val="20"/>
        </w:rPr>
        <w:t>Principle of least privilege for decision execution.</w:t>
      </w:r>
    </w:p>
    <w:p>
      <w:pPr>
        <w:pStyle w:val="ListBullet"/>
        <w:ind w:left="283"/>
      </w:pPr>
      <w:r>
        <w:rPr>
          <w:sz w:val="20"/>
        </w:rPr>
        <w:t>Auditable decision logs for post-hoc review.</w:t>
      </w:r>
    </w:p>
    <w:p>
      <w:pPr>
        <w:pStyle w:val="ListBullet"/>
        <w:ind w:left="283"/>
      </w:pPr>
      <w:r>
        <w:rPr>
          <w:sz w:val="20"/>
        </w:rPr>
        <w:t>Minimized payload persistence where possible.</w:t>
      </w:r>
    </w:p>
    <w:p>
      <w:pPr>
        <w:pStyle w:val="Heading2"/>
      </w:pPr>
      <w:r>
        <w:rPr>
          <w:color w:val="1A569A"/>
          <w:sz w:val="24"/>
        </w:rPr>
        <w:t>Failure Modes and Fallback Strategy</w:t>
      </w:r>
    </w:p>
    <w:p>
      <w:pPr>
        <w:pStyle w:val="ListBullet"/>
        <w:ind w:left="283"/>
      </w:pPr>
      <w:r>
        <w:rPr>
          <w:sz w:val="20"/>
        </w:rPr>
        <w:t>Workflow not found: explicit error and no silent fallback.</w:t>
      </w:r>
    </w:p>
    <w:p>
      <w:pPr>
        <w:pStyle w:val="ListBullet"/>
        <w:ind w:left="283"/>
      </w:pPr>
      <w:r>
        <w:rPr>
          <w:sz w:val="20"/>
        </w:rPr>
        <w:t>Missing or low-quality features: confidence degradation path.</w:t>
      </w:r>
    </w:p>
    <w:p>
      <w:pPr>
        <w:pStyle w:val="ListBullet"/>
        <w:ind w:left="283"/>
      </w:pPr>
      <w:r>
        <w:rPr>
          <w:sz w:val="20"/>
        </w:rPr>
        <w:t>External intelligence unavailable: deterministic fallback route.</w:t>
      </w:r>
    </w:p>
    <w:p>
      <w:pPr>
        <w:pStyle w:val="ListBullet"/>
        <w:ind w:left="283"/>
      </w:pPr>
      <w:r>
        <w:rPr>
          <w:sz w:val="20"/>
        </w:rPr>
        <w:t>Policy disagreement: routed through governance tier.</w:t>
      </w:r>
    </w:p>
    <w:p>
      <w:pPr>
        <w:pStyle w:val="Heading2"/>
      </w:pPr>
      <w:r>
        <w:rPr>
          <w:color w:val="1A569A"/>
          <w:sz w:val="24"/>
        </w:rPr>
        <w:t>Research-to-Product Traceability</w:t>
      </w:r>
    </w:p>
    <w:p>
      <w:r>
        <w:rPr>
          <w:sz w:val="20"/>
        </w:rPr>
        <w:t>Кожен production-рішення має бути трасованим до:</w:t>
      </w:r>
    </w:p>
    <w:p>
      <w:pPr>
        <w:pStyle w:val="ListBullet"/>
        <w:ind w:left="283"/>
      </w:pPr>
      <w:r>
        <w:rPr>
          <w:sz w:val="20"/>
        </w:rPr>
        <w:t>workflow/rule version;</w:t>
      </w:r>
    </w:p>
    <w:p>
      <w:pPr>
        <w:pStyle w:val="ListBullet"/>
        <w:ind w:left="283"/>
      </w:pPr>
      <w:r>
        <w:rPr>
          <w:sz w:val="20"/>
        </w:rPr>
        <w:t>feature snapshot;</w:t>
      </w:r>
    </w:p>
    <w:p>
      <w:pPr>
        <w:pStyle w:val="ListBullet"/>
        <w:ind w:left="283"/>
      </w:pPr>
      <w:r>
        <w:rPr>
          <w:sz w:val="20"/>
        </w:rPr>
        <w:t>policy state;</w:t>
      </w:r>
    </w:p>
    <w:p>
      <w:pPr>
        <w:pStyle w:val="ListBullet"/>
        <w:ind w:left="283"/>
      </w:pPr>
      <w:r>
        <w:rPr>
          <w:sz w:val="20"/>
        </w:rPr>
        <w:t>evaluation status (when enabled).</w:t>
      </w:r>
    </w:p>
    <w:p>
      <w:r>
        <w:rPr>
          <w:sz w:val="20"/>
        </w:rPr>
        <w:t>Це критично для грантової валідації, auditability і відтворюваності.</w:t>
      </w:r>
    </w:p>
    <w:p>
      <w:pPr>
        <w:pStyle w:val="Heading2"/>
      </w:pPr>
      <w:r>
        <w:rPr>
          <w:color w:val="1A569A"/>
          <w:sz w:val="24"/>
        </w:rPr>
        <w:t>Architecture Decisions to Lock</w:t>
      </w:r>
    </w:p>
    <w:p>
      <w:pPr>
        <w:pStyle w:val="ListBullet"/>
        <w:ind w:left="283"/>
      </w:pPr>
      <w:r>
        <w:rPr>
          <w:sz w:val="20"/>
        </w:rPr>
        <w:t>DIP залишається domain-agnostic core.</w:t>
      </w:r>
    </w:p>
    <w:p>
      <w:pPr>
        <w:pStyle w:val="ListBullet"/>
        <w:ind w:left="283"/>
      </w:pPr>
      <w:r>
        <w:rPr>
          <w:sz w:val="20"/>
        </w:rPr>
        <w:t>Dzvin.co не вбудовує DIP internal logic напряму.</w:t>
      </w:r>
    </w:p>
    <w:p>
      <w:pPr>
        <w:pStyle w:val="ListBullet"/>
        <w:ind w:left="283"/>
      </w:pPr>
      <w:r>
        <w:rPr>
          <w:sz w:val="20"/>
        </w:rPr>
        <w:t>Explainability і audit artifacts є частиною core contract, а не optional UI add-on.</w:t>
      </w:r>
    </w:p>
    <w:p>
      <w:pPr>
        <w:pStyle w:val="Heading2"/>
      </w:pPr>
      <w:r>
        <w:rPr>
          <w:color w:val="1A569A"/>
          <w:sz w:val="24"/>
        </w:rPr>
        <w:t>Open Technical Risks</w:t>
      </w:r>
    </w:p>
    <w:p>
      <w:pPr>
        <w:pStyle w:val="ListBullet"/>
        <w:ind w:left="283"/>
      </w:pPr>
      <w:r>
        <w:rPr>
          <w:sz w:val="20"/>
        </w:rPr>
        <w:t>Надмірна latency при розширенні explainability payloads.</w:t>
      </w:r>
    </w:p>
    <w:p>
      <w:pPr>
        <w:pStyle w:val="ListBullet"/>
        <w:ind w:left="283"/>
      </w:pPr>
      <w:r>
        <w:rPr>
          <w:sz w:val="20"/>
        </w:rPr>
        <w:t>Складність backward compatibility при еволюції decision contract.</w:t>
      </w:r>
    </w:p>
    <w:p>
      <w:pPr>
        <w:pStyle w:val="ListBullet"/>
        <w:ind w:left="283"/>
      </w:pPr>
      <w:r>
        <w:rPr>
          <w:sz w:val="20"/>
        </w:rPr>
        <w:t>Інтеграційний drift між DIP API та продуктними командами.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Архітектурні шари мають однозначні boundaries і responsibility map.</w:t>
      </w:r>
    </w:p>
    <w:p>
      <w:pPr>
        <w:pStyle w:val="ListBullet"/>
        <w:ind w:left="283"/>
      </w:pPr>
      <w:r>
        <w:rPr>
          <w:sz w:val="20"/>
        </w:rPr>
        <w:t>Визначено mandatory artifacts для кожного decision execution.</w:t>
      </w:r>
    </w:p>
    <w:p>
      <w:pPr>
        <w:pStyle w:val="ListBullet"/>
        <w:ind w:left="283"/>
      </w:pPr>
      <w:r>
        <w:rPr>
          <w:sz w:val="20"/>
        </w:rPr>
        <w:t>Є узгоджений шлях масштабування до multi-domain reuse.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16-decision-engine.md, 17-feature-store.md, 18-model-registry.md, 24-experiment-tracking.md, 33-integration.md, 34-api.md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