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Decision Engine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Decision Engine</w:t>
      </w:r>
    </w:p>
    <w:p>
      <w:r>
        <w:rPr>
          <w:sz w:val="20"/>
        </w:rPr>
        <w:t>Мова: Українська (default) | [English](16-decision-engine.en.md)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Decision Science Lead</w:t>
      </w:r>
    </w:p>
    <w:p>
      <w:pPr>
        <w:pStyle w:val="ListBullet"/>
        <w:ind w:left="283"/>
      </w:pPr>
      <w:r>
        <w:rPr>
          <w:sz w:val="20"/>
        </w:rPr>
        <w:t>Contributors: Platform Team, ML Team, Research Team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 for implementation and grant alignment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Описати логіку Decision Engine як hybrid rule+ML+policy систему з керованою explainability та runtime governance.</w:t>
      </w:r>
    </w:p>
    <w:p>
      <w:pPr>
        <w:pStyle w:val="Heading2"/>
      </w:pPr>
      <w:r>
        <w:rPr>
          <w:color w:val="1A569A"/>
          <w:sz w:val="24"/>
        </w:rPr>
        <w:t>Decision Objective</w:t>
      </w:r>
    </w:p>
    <w:p>
      <w:r>
        <w:rPr>
          <w:sz w:val="20"/>
        </w:rPr>
        <w:t>Перетворити мультисигнальні вхідні дані у безпечне, пояснюване та операційно корисне рішення:</w:t>
      </w:r>
    </w:p>
    <w:p>
      <w:pPr>
        <w:pStyle w:val="ListBullet"/>
        <w:ind w:left="283"/>
      </w:pPr>
      <w:r>
        <w:rPr>
          <w:sz w:val="20"/>
        </w:rPr>
        <w:t>risk level / risk score;</w:t>
      </w:r>
    </w:p>
    <w:p>
      <w:pPr>
        <w:pStyle w:val="ListBullet"/>
        <w:ind w:left="283"/>
      </w:pPr>
      <w:r>
        <w:rPr>
          <w:sz w:val="20"/>
        </w:rPr>
        <w:t>recommendation/action set;</w:t>
      </w:r>
    </w:p>
    <w:p>
      <w:pPr>
        <w:pStyle w:val="ListBullet"/>
        <w:ind w:left="283"/>
      </w:pPr>
      <w:r>
        <w:rPr>
          <w:sz w:val="20"/>
        </w:rPr>
        <w:t>explanation and confidence;</w:t>
      </w:r>
    </w:p>
    <w:p>
      <w:pPr>
        <w:pStyle w:val="ListBullet"/>
        <w:ind w:left="283"/>
      </w:pPr>
      <w:r>
        <w:rPr>
          <w:sz w:val="20"/>
        </w:rPr>
        <w:t>audit-ready execution trace.</w:t>
      </w:r>
    </w:p>
    <w:p>
      <w:pPr>
        <w:pStyle w:val="Heading2"/>
      </w:pPr>
      <w:r>
        <w:rPr>
          <w:color w:val="1A569A"/>
          <w:sz w:val="24"/>
        </w:rPr>
        <w:t>Input Contract (Conceptual)</w:t>
      </w:r>
    </w:p>
    <w:p>
      <w:pPr>
        <w:pStyle w:val="ListBullet"/>
        <w:ind w:left="283"/>
      </w:pPr>
      <w:r>
        <w:rPr>
          <w:sz w:val="20"/>
        </w:rPr>
        <w:t>Context: tenant/company scope, target type, optional target id.</w:t>
      </w:r>
    </w:p>
    <w:p>
      <w:pPr>
        <w:pStyle w:val="ListBullet"/>
        <w:ind w:left="283"/>
      </w:pPr>
      <w:r>
        <w:rPr>
          <w:sz w:val="20"/>
        </w:rPr>
        <w:t>Features: normalized behavioral/psychometric/engagement signals.</w:t>
      </w:r>
    </w:p>
    <w:p>
      <w:pPr>
        <w:pStyle w:val="ListBullet"/>
        <w:ind w:left="283"/>
      </w:pPr>
      <w:r>
        <w:rPr>
          <w:sz w:val="20"/>
        </w:rPr>
        <w:t>Workflow: rule graph або workflow id.</w:t>
      </w:r>
    </w:p>
    <w:p>
      <w:pPr>
        <w:pStyle w:val="ListBullet"/>
        <w:ind w:left="283"/>
      </w:pPr>
      <w:r>
        <w:rPr>
          <w:sz w:val="20"/>
        </w:rPr>
        <w:t>Policy state: trust gates, overrides, AB settings, fallback flags.</w:t>
      </w:r>
    </w:p>
    <w:p>
      <w:pPr>
        <w:pStyle w:val="Heading2"/>
      </w:pPr>
      <w:r>
        <w:rPr>
          <w:color w:val="1A569A"/>
          <w:sz w:val="24"/>
        </w:rPr>
        <w:t>Output Contract (Conceptual)</w:t>
      </w:r>
    </w:p>
    <w:p>
      <w:pPr>
        <w:pStyle w:val="ListBullet"/>
        <w:ind w:left="283"/>
      </w:pPr>
      <w:r>
        <w:rPr>
          <w:sz w:val="20"/>
        </w:rPr>
        <w:t>Decision label and score.</w:t>
      </w:r>
    </w:p>
    <w:p>
      <w:pPr>
        <w:pStyle w:val="ListBullet"/>
        <w:ind w:left="283"/>
      </w:pPr>
      <w:r>
        <w:rPr>
          <w:sz w:val="20"/>
        </w:rPr>
        <w:t>Triggered rule or policy path.</w:t>
      </w:r>
    </w:p>
    <w:p>
      <w:pPr>
        <w:pStyle w:val="ListBullet"/>
        <w:ind w:left="283"/>
      </w:pPr>
      <w:r>
        <w:rPr>
          <w:sz w:val="20"/>
        </w:rPr>
        <w:t>Actions with priority.</w:t>
      </w:r>
    </w:p>
    <w:p>
      <w:pPr>
        <w:pStyle w:val="ListBullet"/>
        <w:ind w:left="283"/>
      </w:pPr>
      <w:r>
        <w:rPr>
          <w:sz w:val="20"/>
        </w:rPr>
        <w:t>Explanation bundle (matched conditions, rationale).</w:t>
      </w:r>
    </w:p>
    <w:p>
      <w:pPr>
        <w:pStyle w:val="ListBullet"/>
        <w:ind w:left="283"/>
      </w:pPr>
      <w:r>
        <w:rPr>
          <w:sz w:val="20"/>
        </w:rPr>
        <w:t>Confidence/trust indicators.</w:t>
      </w:r>
    </w:p>
    <w:p>
      <w:pPr>
        <w:pStyle w:val="ListBullet"/>
        <w:ind w:left="283"/>
      </w:pPr>
      <w:r>
        <w:rPr>
          <w:sz w:val="20"/>
        </w:rPr>
        <w:t>Audit/event ids for traceability.</w:t>
      </w:r>
    </w:p>
    <w:p>
      <w:pPr>
        <w:pStyle w:val="Heading2"/>
      </w:pPr>
      <w:r>
        <w:rPr>
          <w:color w:val="1A569A"/>
          <w:sz w:val="24"/>
        </w:rPr>
        <w:t>Hybrid Decision Pipeline</w:t>
      </w:r>
    </w:p>
    <w:p>
      <w:pPr>
        <w:pStyle w:val="Heading3"/>
      </w:pPr>
      <w:r>
        <w:rPr>
          <w:color w:val="2E75B6"/>
          <w:sz w:val="22"/>
        </w:rPr>
        <w:t>Step 1. Rule Evaluation</w:t>
      </w:r>
    </w:p>
    <w:p>
      <w:pPr>
        <w:pStyle w:val="ListBullet"/>
        <w:ind w:left="283"/>
      </w:pPr>
      <w:r>
        <w:rPr>
          <w:sz w:val="20"/>
        </w:rPr>
        <w:t>Виконується deterministic rule evaluation з matched/total condition trace.</w:t>
      </w:r>
    </w:p>
    <w:p>
      <w:pPr>
        <w:pStyle w:val="ListBullet"/>
        <w:ind w:left="283"/>
      </w:pPr>
      <w:r>
        <w:rPr>
          <w:sz w:val="20"/>
        </w:rPr>
        <w:t>Генерується первинний actionable output.</w:t>
      </w:r>
    </w:p>
    <w:p>
      <w:pPr>
        <w:pStyle w:val="Heading3"/>
      </w:pPr>
      <w:r>
        <w:rPr>
          <w:color w:val="2E75B6"/>
          <w:sz w:val="22"/>
        </w:rPr>
        <w:t>Step 2. Statistical/ML Signal Composition</w:t>
      </w:r>
    </w:p>
    <w:p>
      <w:pPr>
        <w:pStyle w:val="ListBullet"/>
        <w:ind w:left="283"/>
      </w:pPr>
      <w:r>
        <w:rPr>
          <w:sz w:val="20"/>
        </w:rPr>
        <w:t>Додаються prediction/anomaly/z-score/adaptive signals.</w:t>
      </w:r>
    </w:p>
    <w:p>
      <w:pPr>
        <w:pStyle w:val="ListBullet"/>
        <w:ind w:left="283"/>
      </w:pPr>
      <w:r>
        <w:rPr>
          <w:sz w:val="20"/>
        </w:rPr>
        <w:t>Формується композитний ризик-скор із контрольованими вагами.</w:t>
      </w:r>
    </w:p>
    <w:p>
      <w:pPr>
        <w:pStyle w:val="Heading3"/>
      </w:pPr>
      <w:r>
        <w:rPr>
          <w:color w:val="2E75B6"/>
          <w:sz w:val="22"/>
        </w:rPr>
        <w:t>Step 3. Policy Governance</w:t>
      </w:r>
    </w:p>
    <w:p>
      <w:pPr>
        <w:pStyle w:val="ListBullet"/>
        <w:ind w:left="283"/>
      </w:pPr>
      <w:r>
        <w:rPr>
          <w:sz w:val="20"/>
        </w:rPr>
        <w:t>Trust thresholds визначають ступінь впливу ML сигналу.</w:t>
      </w:r>
    </w:p>
    <w:p>
      <w:pPr>
        <w:pStyle w:val="ListBullet"/>
        <w:ind w:left="283"/>
      </w:pPr>
      <w:r>
        <w:rPr>
          <w:sz w:val="20"/>
        </w:rPr>
        <w:t>За деградації якості вмикається safe mode / mitigation policy.</w:t>
      </w:r>
    </w:p>
    <w:p>
      <w:pPr>
        <w:pStyle w:val="ListBullet"/>
        <w:ind w:left="283"/>
      </w:pPr>
      <w:r>
        <w:rPr>
          <w:sz w:val="20"/>
        </w:rPr>
        <w:t>A/B policy routing застосовується для online evaluation.</w:t>
      </w:r>
    </w:p>
    <w:p>
      <w:pPr>
        <w:pStyle w:val="Heading3"/>
      </w:pPr>
      <w:r>
        <w:rPr>
          <w:color w:val="2E75B6"/>
          <w:sz w:val="22"/>
        </w:rPr>
        <w:t>Step 4. Conflict Resolution</w:t>
      </w:r>
    </w:p>
    <w:p>
      <w:pPr>
        <w:pStyle w:val="ListBullet"/>
        <w:ind w:left="283"/>
      </w:pPr>
      <w:r>
        <w:rPr>
          <w:sz w:val="20"/>
        </w:rPr>
        <w:t>За розбіжності rules vs ML застосовується policy tier з явними порогами.</w:t>
      </w:r>
    </w:p>
    <w:p>
      <w:pPr>
        <w:pStyle w:val="ListBullet"/>
        <w:ind w:left="283"/>
      </w:pPr>
      <w:r>
        <w:rPr>
          <w:sz w:val="20"/>
        </w:rPr>
        <w:t>Високоризикові конфлікти маркуються для diagnostics and review.</w:t>
      </w:r>
    </w:p>
    <w:p>
      <w:pPr>
        <w:pStyle w:val="Heading3"/>
      </w:pPr>
      <w:r>
        <w:rPr>
          <w:color w:val="2E75B6"/>
          <w:sz w:val="22"/>
        </w:rPr>
        <w:t>Step 5. Explanation and Audit Emission</w:t>
      </w:r>
    </w:p>
    <w:p>
      <w:pPr>
        <w:pStyle w:val="ListBullet"/>
        <w:ind w:left="283"/>
      </w:pPr>
      <w:r>
        <w:rPr>
          <w:sz w:val="20"/>
        </w:rPr>
        <w:t>Повертається explanation payload для user/admin surfaces.</w:t>
      </w:r>
    </w:p>
    <w:p>
      <w:pPr>
        <w:pStyle w:val="ListBullet"/>
        <w:ind w:left="283"/>
      </w:pPr>
      <w:r>
        <w:rPr>
          <w:sz w:val="20"/>
        </w:rPr>
        <w:t>Пишеться event + audit record для подальшої перевірки.</w:t>
      </w:r>
    </w:p>
    <w:p>
      <w:pPr>
        <w:pStyle w:val="Heading2"/>
      </w:pPr>
      <w:r>
        <w:rPr>
          <w:color w:val="1A569A"/>
          <w:sz w:val="24"/>
        </w:rPr>
        <w:t>Runtime Modes</w:t>
      </w:r>
    </w:p>
    <w:p>
      <w:pPr>
        <w:pStyle w:val="ListBullet"/>
        <w:ind w:left="283"/>
      </w:pPr>
      <w:r>
        <w:rPr>
          <w:sz w:val="20"/>
        </w:rPr>
        <w:t>Deterministic mode: rules-first, коли ML недоступний або відключений policy.</w:t>
      </w:r>
    </w:p>
    <w:p>
      <w:pPr>
        <w:pStyle w:val="ListBullet"/>
        <w:ind w:left="283"/>
      </w:pPr>
      <w:r>
        <w:rPr>
          <w:sz w:val="20"/>
        </w:rPr>
        <w:t>Hybrid mode: rules + ML + cohort/adaptive components.</w:t>
      </w:r>
    </w:p>
    <w:p>
      <w:pPr>
        <w:pStyle w:val="ListBullet"/>
        <w:ind w:left="283"/>
      </w:pPr>
      <w:r>
        <w:rPr>
          <w:sz w:val="20"/>
        </w:rPr>
        <w:t>Guarded mode: частково обмежений ML вплив за low trust conditions.</w:t>
      </w:r>
    </w:p>
    <w:p>
      <w:pPr>
        <w:pStyle w:val="Heading2"/>
      </w:pPr>
      <w:r>
        <w:rPr>
          <w:color w:val="1A569A"/>
          <w:sz w:val="24"/>
        </w:rPr>
        <w:t>Confidence and Trust Logic</w:t>
      </w:r>
    </w:p>
    <w:p>
      <w:pPr>
        <w:pStyle w:val="ListBullet"/>
        <w:ind w:left="283"/>
      </w:pPr>
      <w:r>
        <w:rPr>
          <w:sz w:val="20"/>
        </w:rPr>
        <w:t>Confidence відображає повноту/якість сигналів і стабільність policy.</w:t>
      </w:r>
    </w:p>
    <w:p>
      <w:pPr>
        <w:pStyle w:val="ListBullet"/>
        <w:ind w:left="283"/>
      </w:pPr>
      <w:r>
        <w:rPr>
          <w:sz w:val="20"/>
        </w:rPr>
        <w:t>Trust score базується на online metrics (accuracy/calibration/drift/coverage).</w:t>
      </w:r>
    </w:p>
    <w:p>
      <w:pPr>
        <w:pStyle w:val="ListBullet"/>
        <w:ind w:left="283"/>
      </w:pPr>
      <w:r>
        <w:rPr>
          <w:sz w:val="20"/>
        </w:rPr>
        <w:t>Низький trust автоматично знижує вагу ML в кінцевому рішенні.</w:t>
      </w:r>
    </w:p>
    <w:p>
      <w:pPr>
        <w:pStyle w:val="Heading2"/>
      </w:pPr>
      <w:r>
        <w:rPr>
          <w:color w:val="1A569A"/>
          <w:sz w:val="24"/>
        </w:rPr>
        <w:t>Governance Controls</w:t>
      </w:r>
    </w:p>
    <w:p>
      <w:pPr>
        <w:pStyle w:val="ListBullet"/>
        <w:ind w:left="283"/>
      </w:pPr>
      <w:r>
        <w:rPr>
          <w:sz w:val="20"/>
        </w:rPr>
        <w:t>Admin policy overrides з обмеженим TTL.</w:t>
      </w:r>
    </w:p>
    <w:p>
      <w:pPr>
        <w:pStyle w:val="ListBullet"/>
        <w:ind w:left="283"/>
      </w:pPr>
      <w:r>
        <w:rPr>
          <w:sz w:val="20"/>
        </w:rPr>
        <w:t>Auto-mitigation після серії degraded cycles.</w:t>
      </w:r>
    </w:p>
    <w:p>
      <w:pPr>
        <w:pStyle w:val="ListBullet"/>
        <w:ind w:left="283"/>
      </w:pPr>
      <w:r>
        <w:rPr>
          <w:sz w:val="20"/>
        </w:rPr>
        <w:t>Recovery conditions після healthy cycles.</w:t>
      </w:r>
    </w:p>
    <w:p>
      <w:pPr>
        <w:pStyle w:val="ListBullet"/>
        <w:ind w:left="283"/>
      </w:pPr>
      <w:r>
        <w:rPr>
          <w:sz w:val="20"/>
        </w:rPr>
        <w:t>Audit trail для кожної policy change.</w:t>
      </w:r>
    </w:p>
    <w:p>
      <w:pPr>
        <w:pStyle w:val="Heading2"/>
      </w:pPr>
      <w:r>
        <w:rPr>
          <w:color w:val="1A569A"/>
          <w:sz w:val="24"/>
        </w:rPr>
        <w:t>Validation Hypotheses</w:t>
      </w:r>
    </w:p>
    <w:p>
      <w:pPr>
        <w:pStyle w:val="ListBullet"/>
        <w:ind w:left="283"/>
      </w:pPr>
      <w:r>
        <w:rPr>
          <w:sz w:val="20"/>
        </w:rPr>
        <w:t>H1: Hybrid engine підвищує decision quality порівняно з rules-only baseline.</w:t>
      </w:r>
    </w:p>
    <w:p>
      <w:pPr>
        <w:pStyle w:val="ListBullet"/>
        <w:ind w:left="283"/>
      </w:pPr>
      <w:r>
        <w:rPr>
          <w:sz w:val="20"/>
        </w:rPr>
        <w:t>H2: Trust-gated policy знижує ризик unsafe recommendations під drift.</w:t>
      </w:r>
    </w:p>
    <w:p>
      <w:pPr>
        <w:pStyle w:val="ListBullet"/>
        <w:ind w:left="283"/>
      </w:pPr>
      <w:r>
        <w:rPr>
          <w:sz w:val="20"/>
        </w:rPr>
        <w:t>H3: Explainability artifacts підвищують прийнятність рішень для B2B stakeholders.</w:t>
      </w:r>
    </w:p>
    <w:p>
      <w:pPr>
        <w:pStyle w:val="Heading2"/>
      </w:pPr>
      <w:r>
        <w:rPr>
          <w:color w:val="1A569A"/>
          <w:sz w:val="24"/>
        </w:rPr>
        <w:t>Failure and Safety Scenarios</w:t>
      </w:r>
    </w:p>
    <w:p>
      <w:pPr>
        <w:pStyle w:val="ListBullet"/>
        <w:ind w:left="283"/>
      </w:pPr>
      <w:r>
        <w:rPr>
          <w:sz w:val="20"/>
        </w:rPr>
        <w:t>Missing features: graceful degradation + explicit confidence drop.</w:t>
      </w:r>
    </w:p>
    <w:p>
      <w:pPr>
        <w:pStyle w:val="ListBullet"/>
        <w:ind w:left="283"/>
      </w:pPr>
      <w:r>
        <w:rPr>
          <w:sz w:val="20"/>
        </w:rPr>
        <w:t>Conflicting signals: policy-mediated resolution + diagnostics flag.</w:t>
      </w:r>
    </w:p>
    <w:p>
      <w:pPr>
        <w:pStyle w:val="ListBullet"/>
        <w:ind w:left="283"/>
      </w:pPr>
      <w:r>
        <w:rPr>
          <w:sz w:val="20"/>
        </w:rPr>
        <w:t>Model drift spike: mitigation mode + reduced ML influence.</w:t>
      </w:r>
    </w:p>
    <w:p>
      <w:pPr>
        <w:pStyle w:val="ListBullet"/>
        <w:ind w:left="283"/>
      </w:pPr>
      <w:r>
        <w:rPr>
          <w:sz w:val="20"/>
        </w:rPr>
        <w:t>Insufficient sample: conservative policy path.</w:t>
      </w:r>
    </w:p>
    <w:p>
      <w:pPr>
        <w:pStyle w:val="Heading2"/>
      </w:pPr>
      <w:r>
        <w:rPr>
          <w:color w:val="1A569A"/>
          <w:sz w:val="24"/>
        </w:rPr>
        <w:t>KPIs for Engine Quality</w:t>
      </w:r>
    </w:p>
    <w:p>
      <w:pPr>
        <w:pStyle w:val="ListBullet"/>
        <w:ind w:left="283"/>
      </w:pPr>
      <w:r>
        <w:rPr>
          <w:sz w:val="20"/>
        </w:rPr>
        <w:t>AUROC / calibration error by segment.</w:t>
      </w:r>
    </w:p>
    <w:p>
      <w:pPr>
        <w:pStyle w:val="ListBullet"/>
        <w:ind w:left="283"/>
      </w:pPr>
      <w:r>
        <w:rPr>
          <w:sz w:val="20"/>
        </w:rPr>
        <w:t>Alert precision/recall for high-risk cohorts.</w:t>
      </w:r>
    </w:p>
    <w:p>
      <w:pPr>
        <w:pStyle w:val="ListBullet"/>
        <w:ind w:left="283"/>
      </w:pPr>
      <w:r>
        <w:rPr>
          <w:sz w:val="20"/>
        </w:rPr>
        <w:t>Disagreement rate (rules vs ML) and resolution quality.</w:t>
      </w:r>
    </w:p>
    <w:p>
      <w:pPr>
        <w:pStyle w:val="ListBullet"/>
        <w:ind w:left="283"/>
      </w:pPr>
      <w:r>
        <w:rPr>
          <w:sz w:val="20"/>
        </w:rPr>
        <w:t>Time-to-stable-policy after degradation.</w:t>
      </w:r>
    </w:p>
    <w:p>
      <w:pPr>
        <w:pStyle w:val="ListBullet"/>
        <w:ind w:left="283"/>
      </w:pPr>
      <w:r>
        <w:rPr>
          <w:sz w:val="20"/>
        </w:rPr>
        <w:t>Explainability usefulness score from user validation.</w:t>
      </w:r>
    </w:p>
    <w:p>
      <w:pPr>
        <w:pStyle w:val="Heading2"/>
      </w:pPr>
      <w:r>
        <w:rPr>
          <w:color w:val="1A569A"/>
          <w:sz w:val="24"/>
        </w:rPr>
        <w:t>Near-Term Implementation Priorities</w:t>
      </w:r>
    </w:p>
    <w:p>
      <w:pPr>
        <w:pStyle w:val="ListBullet"/>
        <w:ind w:left="283"/>
      </w:pPr>
      <w:r>
        <w:rPr>
          <w:sz w:val="20"/>
        </w:rPr>
        <w:t>Уніфікувати decision contract між DIP і Dzvin.co projection surfaces.</w:t>
      </w:r>
    </w:p>
    <w:p>
      <w:pPr>
        <w:pStyle w:val="ListBullet"/>
        <w:ind w:left="283"/>
      </w:pPr>
      <w:r>
        <w:rPr>
          <w:sz w:val="20"/>
        </w:rPr>
        <w:t>Формалізувати policy tier taxonomy у документації та telemetry.</w:t>
      </w:r>
    </w:p>
    <w:p>
      <w:pPr>
        <w:pStyle w:val="ListBullet"/>
        <w:ind w:left="283"/>
      </w:pPr>
      <w:r>
        <w:rPr>
          <w:sz w:val="20"/>
        </w:rPr>
        <w:t>Довести reproducibility сценарії для ключових workflow.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Повний decision flow формально описаний і testable.</w:t>
      </w:r>
    </w:p>
    <w:p>
      <w:pPr>
        <w:pStyle w:val="ListBullet"/>
        <w:ind w:left="283"/>
      </w:pPr>
      <w:r>
        <w:rPr>
          <w:sz w:val="20"/>
        </w:rPr>
        <w:t>Визначені всі critical thresholds та fallback paths.</w:t>
      </w:r>
    </w:p>
    <w:p>
      <w:pPr>
        <w:pStyle w:val="ListBullet"/>
        <w:ind w:left="283"/>
      </w:pPr>
      <w:r>
        <w:rPr>
          <w:sz w:val="20"/>
        </w:rPr>
        <w:t>Governance-артефакти достатні для внутрішнього та зовнішнього аудиту.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15-dip-architecture.md, 20-explainability.md, 21-adaptive-baseline.md, 22-uncertainty.md, 25-evaluation.md, 26-metrics.md, 29-explainability-validation.md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