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Feature Store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Feature Store</w:t>
      </w:r>
    </w:p>
    <w:p>
      <w:r>
        <w:rPr>
          <w:sz w:val="20"/>
        </w:rPr>
        <w:t>Мова: Українська (default) | [English](17-feature-store.en.md)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Data Platform Lead</w:t>
      </w:r>
    </w:p>
    <w:p>
      <w:pPr>
        <w:pStyle w:val="ListBullet"/>
        <w:ind w:left="283"/>
      </w:pPr>
      <w:r>
        <w:rPr>
          <w:sz w:val="20"/>
        </w:rPr>
        <w:t>Contributors: ML Team, Backend Team, Analytics Team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Визначити архітектуру Feature Store для DIP + Dzvin.co як єдиного джерела ознак для rule/ML/analytics сценаріїв.</w:t>
      </w:r>
    </w:p>
    <w:p>
      <w:pPr>
        <w:pStyle w:val="Heading2"/>
      </w:pPr>
      <w:r>
        <w:rPr>
          <w:color w:val="1A569A"/>
          <w:sz w:val="24"/>
        </w:rPr>
        <w:t>Objectives</w:t>
      </w:r>
    </w:p>
    <w:p>
      <w:pPr>
        <w:pStyle w:val="ListBullet"/>
        <w:ind w:left="283"/>
      </w:pPr>
      <w:r>
        <w:rPr>
          <w:sz w:val="20"/>
        </w:rPr>
        <w:t>Уніфікувати визначення feature між R&amp;D і production.</w:t>
      </w:r>
    </w:p>
    <w:p>
      <w:pPr>
        <w:pStyle w:val="ListBullet"/>
        <w:ind w:left="283"/>
      </w:pPr>
      <w:r>
        <w:rPr>
          <w:sz w:val="20"/>
        </w:rPr>
        <w:t>Забезпечити versioning, lineage і reproducibility.</w:t>
      </w:r>
    </w:p>
    <w:p>
      <w:pPr>
        <w:pStyle w:val="ListBullet"/>
        <w:ind w:left="283"/>
      </w:pPr>
      <w:r>
        <w:rPr>
          <w:sz w:val="20"/>
        </w:rPr>
        <w:t>Мінімізувати train-serve skew.</w:t>
      </w:r>
    </w:p>
    <w:p>
      <w:pPr>
        <w:pStyle w:val="Heading2"/>
      </w:pPr>
      <w:r>
        <w:rPr>
          <w:color w:val="1A569A"/>
          <w:sz w:val="24"/>
        </w:rPr>
        <w:t>Core Principles</w:t>
      </w:r>
    </w:p>
    <w:p>
      <w:pPr>
        <w:pStyle w:val="ListBullet"/>
        <w:ind w:left="283"/>
      </w:pPr>
      <w:r>
        <w:rPr>
          <w:sz w:val="20"/>
        </w:rPr>
        <w:t>Single semantic definition per feature.</w:t>
      </w:r>
    </w:p>
    <w:p>
      <w:pPr>
        <w:pStyle w:val="ListBullet"/>
        <w:ind w:left="283"/>
      </w:pPr>
      <w:r>
        <w:rPr>
          <w:sz w:val="20"/>
        </w:rPr>
        <w:t>Explicit ownership і lifecycle.</w:t>
      </w:r>
    </w:p>
    <w:p>
      <w:pPr>
        <w:pStyle w:val="ListBullet"/>
        <w:ind w:left="283"/>
      </w:pPr>
      <w:r>
        <w:rPr>
          <w:sz w:val="20"/>
        </w:rPr>
        <w:t>Time-aware computation (event time &gt; processing time).</w:t>
      </w:r>
    </w:p>
    <w:p>
      <w:pPr>
        <w:pStyle w:val="ListBullet"/>
        <w:ind w:left="283"/>
      </w:pPr>
      <w:r>
        <w:rPr>
          <w:sz w:val="20"/>
        </w:rPr>
        <w:t>Auditability і tenant isolation.</w:t>
      </w:r>
    </w:p>
    <w:p>
      <w:pPr>
        <w:pStyle w:val="Heading2"/>
      </w:pPr>
      <w:r>
        <w:rPr>
          <w:color w:val="1A569A"/>
          <w:sz w:val="24"/>
        </w:rPr>
        <w:t>Feature Taxonomy</w:t>
      </w:r>
    </w:p>
    <w:p>
      <w:pPr>
        <w:pStyle w:val="ListBullet"/>
        <w:ind w:left="283"/>
      </w:pPr>
      <w:r>
        <w:rPr>
          <w:sz w:val="20"/>
        </w:rPr>
        <w:t>Behavioral: mood/stress/energy/focus dynamics.</w:t>
      </w:r>
    </w:p>
    <w:p>
      <w:pPr>
        <w:pStyle w:val="ListBullet"/>
        <w:ind w:left="283"/>
      </w:pPr>
      <w:r>
        <w:rPr>
          <w:sz w:val="20"/>
        </w:rPr>
        <w:t>Engagement: activity frequency, streaks, drop-off risk.</w:t>
      </w:r>
    </w:p>
    <w:p>
      <w:pPr>
        <w:pStyle w:val="ListBullet"/>
        <w:ind w:left="283"/>
      </w:pPr>
      <w:r>
        <w:rPr>
          <w:sz w:val="20"/>
        </w:rPr>
        <w:t>Psychometric: PHQ-9, GAD-7, PSS-4, K10 derived aggregates.</w:t>
      </w:r>
    </w:p>
    <w:p>
      <w:pPr>
        <w:pStyle w:val="ListBullet"/>
        <w:ind w:left="283"/>
      </w:pPr>
      <w:r>
        <w:rPr>
          <w:sz w:val="20"/>
        </w:rPr>
        <w:t>Organizational: team volatility, participation ratios.</w:t>
      </w:r>
    </w:p>
    <w:p>
      <w:pPr>
        <w:pStyle w:val="ListBullet"/>
        <w:ind w:left="283"/>
      </w:pPr>
      <w:r>
        <w:rPr>
          <w:sz w:val="20"/>
        </w:rPr>
        <w:t>Meta-features: completeness, freshness, confidence.</w:t>
      </w:r>
    </w:p>
    <w:p>
      <w:pPr>
        <w:pStyle w:val="Heading2"/>
      </w:pPr>
      <w:r>
        <w:rPr>
          <w:color w:val="1A569A"/>
          <w:sz w:val="24"/>
        </w:rPr>
        <w:t>Feature Entity Model</w:t>
      </w:r>
    </w:p>
    <w:p>
      <w:r>
        <w:rPr>
          <w:sz w:val="20"/>
        </w:rPr>
        <w:t>Кожна ознака має містити:</w:t>
      </w:r>
    </w:p>
    <w:p>
      <w:pPr>
        <w:pStyle w:val="ListBullet"/>
        <w:ind w:left="283"/>
      </w:pPr>
      <w:r>
        <w:rPr>
          <w:sz w:val="20"/>
        </w:rPr>
        <w:t>feature_key</w:t>
      </w:r>
    </w:p>
    <w:p>
      <w:pPr>
        <w:pStyle w:val="ListBullet"/>
        <w:ind w:left="283"/>
      </w:pPr>
      <w:r>
        <w:rPr>
          <w:sz w:val="20"/>
        </w:rPr>
        <w:t>display_name</w:t>
      </w:r>
    </w:p>
    <w:p>
      <w:pPr>
        <w:pStyle w:val="ListBullet"/>
        <w:ind w:left="283"/>
      </w:pPr>
      <w:r>
        <w:rPr>
          <w:sz w:val="20"/>
        </w:rPr>
        <w:t>data_type</w:t>
      </w:r>
    </w:p>
    <w:p>
      <w:pPr>
        <w:pStyle w:val="ListBullet"/>
        <w:ind w:left="283"/>
      </w:pPr>
      <w:r>
        <w:rPr>
          <w:sz w:val="20"/>
        </w:rPr>
        <w:t>unit</w:t>
      </w:r>
    </w:p>
    <w:p>
      <w:pPr>
        <w:pStyle w:val="ListBullet"/>
        <w:ind w:left="283"/>
      </w:pPr>
      <w:r>
        <w:rPr>
          <w:sz w:val="20"/>
        </w:rPr>
        <w:t>computation_formula</w:t>
      </w:r>
    </w:p>
    <w:p>
      <w:pPr>
        <w:pStyle w:val="ListBullet"/>
        <w:ind w:left="283"/>
      </w:pPr>
      <w:r>
        <w:rPr>
          <w:sz w:val="20"/>
        </w:rPr>
        <w:t>window</w:t>
      </w:r>
    </w:p>
    <w:p>
      <w:pPr>
        <w:pStyle w:val="ListBullet"/>
        <w:ind w:left="283"/>
      </w:pPr>
      <w:r>
        <w:rPr>
          <w:sz w:val="20"/>
        </w:rPr>
        <w:t>source_collections</w:t>
      </w:r>
    </w:p>
    <w:p>
      <w:pPr>
        <w:pStyle w:val="ListBullet"/>
        <w:ind w:left="283"/>
      </w:pPr>
      <w:r>
        <w:rPr>
          <w:sz w:val="20"/>
        </w:rPr>
        <w:t>null_policy</w:t>
      </w:r>
    </w:p>
    <w:p>
      <w:pPr>
        <w:pStyle w:val="ListBullet"/>
        <w:ind w:left="283"/>
      </w:pPr>
      <w:r>
        <w:rPr>
          <w:sz w:val="20"/>
        </w:rPr>
        <w:t>quality_rules</w:t>
      </w:r>
    </w:p>
    <w:p>
      <w:pPr>
        <w:pStyle w:val="ListBullet"/>
        <w:ind w:left="283"/>
      </w:pPr>
      <w:r>
        <w:rPr>
          <w:sz w:val="20"/>
        </w:rPr>
        <w:t>owner</w:t>
      </w:r>
    </w:p>
    <w:p>
      <w:pPr>
        <w:pStyle w:val="ListBullet"/>
        <w:ind w:left="283"/>
      </w:pPr>
      <w:r>
        <w:rPr>
          <w:sz w:val="20"/>
        </w:rPr>
        <w:t>version</w:t>
      </w:r>
    </w:p>
    <w:p>
      <w:pPr>
        <w:pStyle w:val="Heading2"/>
      </w:pPr>
      <w:r>
        <w:rPr>
          <w:color w:val="1A569A"/>
          <w:sz w:val="24"/>
        </w:rPr>
        <w:t>Storage and Access Pattern</w:t>
      </w:r>
    </w:p>
    <w:p>
      <w:pPr>
        <w:pStyle w:val="ListBullet"/>
        <w:ind w:left="283"/>
      </w:pPr>
      <w:r>
        <w:rPr>
          <w:sz w:val="20"/>
        </w:rPr>
        <w:t>Offline store: історичні обчислення для train/analysis.</w:t>
      </w:r>
    </w:p>
    <w:p>
      <w:pPr>
        <w:pStyle w:val="ListBullet"/>
        <w:ind w:left="283"/>
      </w:pPr>
      <w:r>
        <w:rPr>
          <w:sz w:val="20"/>
        </w:rPr>
        <w:t>Online access layer: низька латентність для inference.</w:t>
      </w:r>
    </w:p>
    <w:p>
      <w:pPr>
        <w:pStyle w:val="ListBullet"/>
        <w:ind w:left="283"/>
      </w:pPr>
      <w:r>
        <w:rPr>
          <w:sz w:val="20"/>
        </w:rPr>
        <w:t>Registry metadata: schema, ownership, lineage, quality status.</w:t>
      </w:r>
    </w:p>
    <w:p>
      <w:pPr>
        <w:pStyle w:val="Heading2"/>
      </w:pPr>
      <w:r>
        <w:rPr>
          <w:color w:val="1A569A"/>
          <w:sz w:val="24"/>
        </w:rPr>
        <w:t>Versioning Policy</w:t>
      </w:r>
    </w:p>
    <w:p>
      <w:pPr>
        <w:pStyle w:val="ListBullet"/>
        <w:ind w:left="283"/>
      </w:pPr>
      <w:r>
        <w:rPr>
          <w:sz w:val="20"/>
        </w:rPr>
        <w:t>Semantic versioning для логіки обчислення.</w:t>
      </w:r>
    </w:p>
    <w:p>
      <w:pPr>
        <w:pStyle w:val="ListBullet"/>
        <w:ind w:left="283"/>
      </w:pPr>
      <w:r>
        <w:rPr>
          <w:sz w:val="20"/>
        </w:rPr>
        <w:t>Major: несумісна зміна формули.</w:t>
      </w:r>
    </w:p>
    <w:p>
      <w:pPr>
        <w:pStyle w:val="ListBullet"/>
        <w:ind w:left="283"/>
      </w:pPr>
      <w:r>
        <w:rPr>
          <w:sz w:val="20"/>
        </w:rPr>
        <w:t>Minor: розширення сумісної логіки.</w:t>
      </w:r>
    </w:p>
    <w:p>
      <w:pPr>
        <w:pStyle w:val="ListBullet"/>
        <w:ind w:left="283"/>
      </w:pPr>
      <w:r>
        <w:rPr>
          <w:sz w:val="20"/>
        </w:rPr>
        <w:t>Patch: виправлення без зміни семантики.</w:t>
      </w:r>
    </w:p>
    <w:p>
      <w:pPr>
        <w:pStyle w:val="Heading2"/>
      </w:pPr>
      <w:r>
        <w:rPr>
          <w:color w:val="1A569A"/>
          <w:sz w:val="24"/>
        </w:rPr>
        <w:t>Quality Gates</w:t>
      </w:r>
    </w:p>
    <w:p>
      <w:r>
        <w:rPr>
          <w:sz w:val="20"/>
        </w:rPr>
        <w:t>Перед публікацією feature version:</w:t>
      </w:r>
    </w:p>
    <w:p>
      <w:pPr>
        <w:pStyle w:val="ListBullet"/>
        <w:ind w:left="283"/>
      </w:pPr>
      <w:r>
        <w:rPr>
          <w:sz w:val="20"/>
        </w:rPr>
        <w:t>schema validation</w:t>
      </w:r>
    </w:p>
    <w:p>
      <w:pPr>
        <w:pStyle w:val="ListBullet"/>
        <w:ind w:left="283"/>
      </w:pPr>
      <w:r>
        <w:rPr>
          <w:sz w:val="20"/>
        </w:rPr>
        <w:t>null/outlier checks</w:t>
      </w:r>
    </w:p>
    <w:p>
      <w:pPr>
        <w:pStyle w:val="ListBullet"/>
        <w:ind w:left="283"/>
      </w:pPr>
      <w:r>
        <w:rPr>
          <w:sz w:val="20"/>
        </w:rPr>
        <w:t>drift check vs baseline</w:t>
      </w:r>
    </w:p>
    <w:p>
      <w:pPr>
        <w:pStyle w:val="ListBullet"/>
        <w:ind w:left="283"/>
      </w:pPr>
      <w:r>
        <w:rPr>
          <w:sz w:val="20"/>
        </w:rPr>
        <w:t>reproducibility replay on reference dataset</w:t>
      </w:r>
    </w:p>
    <w:p>
      <w:pPr>
        <w:pStyle w:val="Heading2"/>
      </w:pPr>
      <w:r>
        <w:rPr>
          <w:color w:val="1A569A"/>
          <w:sz w:val="24"/>
        </w:rPr>
        <w:t>Train-Serve Consistency Controls</w:t>
      </w:r>
    </w:p>
    <w:p>
      <w:pPr>
        <w:pStyle w:val="ListBullet"/>
        <w:ind w:left="283"/>
      </w:pPr>
      <w:r>
        <w:rPr>
          <w:sz w:val="20"/>
        </w:rPr>
        <w:t>Спільний computation contract для training та inference.</w:t>
      </w:r>
    </w:p>
    <w:p>
      <w:pPr>
        <w:pStyle w:val="ListBullet"/>
        <w:ind w:left="283"/>
      </w:pPr>
      <w:r>
        <w:rPr>
          <w:sz w:val="20"/>
        </w:rPr>
        <w:t>Frozen feature sets per experiment/model version.</w:t>
      </w:r>
    </w:p>
    <w:p>
      <w:pPr>
        <w:pStyle w:val="ListBullet"/>
        <w:ind w:left="283"/>
      </w:pPr>
      <w:r>
        <w:rPr>
          <w:sz w:val="20"/>
        </w:rPr>
        <w:t>Compatibility matrix: model version &lt;-&gt; feature version.</w:t>
      </w:r>
    </w:p>
    <w:p>
      <w:pPr>
        <w:pStyle w:val="Heading2"/>
      </w:pPr>
      <w:r>
        <w:rPr>
          <w:color w:val="1A569A"/>
          <w:sz w:val="24"/>
        </w:rPr>
        <w:t>Governance</w:t>
      </w:r>
    </w:p>
    <w:p>
      <w:pPr>
        <w:pStyle w:val="ListBullet"/>
        <w:ind w:left="283"/>
      </w:pPr>
      <w:r>
        <w:rPr>
          <w:sz w:val="20"/>
        </w:rPr>
        <w:t>Feature owner (business + technical).</w:t>
      </w:r>
    </w:p>
    <w:p>
      <w:pPr>
        <w:pStyle w:val="ListBullet"/>
        <w:ind w:left="283"/>
      </w:pPr>
      <w:r>
        <w:rPr>
          <w:sz w:val="20"/>
        </w:rPr>
        <w:t>Review board для high-impact features.</w:t>
      </w:r>
    </w:p>
    <w:p>
      <w:pPr>
        <w:pStyle w:val="ListBullet"/>
        <w:ind w:left="283"/>
      </w:pPr>
      <w:r>
        <w:rPr>
          <w:sz w:val="20"/>
        </w:rPr>
        <w:t>Deprecation policy з grace period.</w:t>
      </w:r>
    </w:p>
    <w:p>
      <w:pPr>
        <w:pStyle w:val="Heading2"/>
      </w:pPr>
      <w:r>
        <w:rPr>
          <w:color w:val="1A569A"/>
          <w:sz w:val="24"/>
        </w:rPr>
        <w:t>Risks</w:t>
      </w:r>
    </w:p>
    <w:p>
      <w:pPr>
        <w:pStyle w:val="ListBullet"/>
        <w:ind w:left="283"/>
      </w:pPr>
      <w:r>
        <w:rPr>
          <w:sz w:val="20"/>
        </w:rPr>
        <w:t>Feature explosion і некерована складність.</w:t>
      </w:r>
    </w:p>
    <w:p>
      <w:pPr>
        <w:pStyle w:val="ListBullet"/>
        <w:ind w:left="283"/>
      </w:pPr>
      <w:r>
        <w:rPr>
          <w:sz w:val="20"/>
        </w:rPr>
        <w:t>Непрозора семантика ознак без data dictionary.</w:t>
      </w:r>
    </w:p>
    <w:p>
      <w:pPr>
        <w:pStyle w:val="ListBullet"/>
        <w:ind w:left="283"/>
      </w:pPr>
      <w:r>
        <w:rPr>
          <w:sz w:val="20"/>
        </w:rPr>
        <w:t>Latency penalty для складних windowed features.</w:t>
      </w:r>
    </w:p>
    <w:p>
      <w:pPr>
        <w:pStyle w:val="Heading2"/>
      </w:pPr>
      <w:r>
        <w:rPr>
          <w:color w:val="1A569A"/>
          <w:sz w:val="24"/>
        </w:rPr>
        <w:t>Implementation Milestones</w:t>
      </w:r>
    </w:p>
    <w:p>
      <w:r>
        <w:rPr>
          <w:sz w:val="20"/>
        </w:rPr>
        <w:t>1. Feature catalog v1</w:t>
      </w:r>
    </w:p>
    <w:p>
      <w:r>
        <w:rPr>
          <w:sz w:val="20"/>
        </w:rPr>
        <w:t>2. Versioned computation specs</w:t>
      </w:r>
    </w:p>
    <w:p>
      <w:r>
        <w:rPr>
          <w:sz w:val="20"/>
        </w:rPr>
        <w:t>3. Quality monitoring dashboard</w:t>
      </w:r>
    </w:p>
    <w:p>
      <w:r>
        <w:rPr>
          <w:sz w:val="20"/>
        </w:rPr>
        <w:t>4. Online/offline parity checks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100% production features мають metadata contract.</w:t>
      </w:r>
    </w:p>
    <w:p>
      <w:pPr>
        <w:pStyle w:val="ListBullet"/>
        <w:ind w:left="283"/>
      </w:pPr>
      <w:r>
        <w:rPr>
          <w:sz w:val="20"/>
        </w:rPr>
        <w:t>Критичні features мають lineage і quality status.</w:t>
      </w:r>
    </w:p>
    <w:p>
      <w:pPr>
        <w:pStyle w:val="ListBullet"/>
        <w:ind w:left="283"/>
      </w:pPr>
      <w:r>
        <w:rPr>
          <w:sz w:val="20"/>
        </w:rPr>
        <w:t>Для кожного model run існує reproducible feature snapshot.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08-dataset-specification.md, 09-feature-engineering.md, 18-model-registry.md, 24-experiment-tracking.md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