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Model Registry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Model Registry</w:t>
      </w:r>
    </w:p>
    <w:p>
      <w:r>
        <w:rPr>
          <w:sz w:val="20"/>
        </w:rPr>
        <w:t>Мова: Українська (default) | [English](18-model-registry.en.md)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MLOps Lead</w:t>
      </w:r>
    </w:p>
    <w:p>
      <w:pPr>
        <w:pStyle w:val="ListBullet"/>
        <w:ind w:left="283"/>
      </w:pPr>
      <w:r>
        <w:rPr>
          <w:sz w:val="20"/>
        </w:rPr>
        <w:t>Contributors: ML Team, Platform Team, QA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Описати Model Registry як контрольну площину життєвого циклу моделей, сумісну з DIP decision contract.</w:t>
      </w:r>
    </w:p>
    <w:p>
      <w:pPr>
        <w:pStyle w:val="Heading2"/>
      </w:pPr>
      <w:r>
        <w:rPr>
          <w:color w:val="1A569A"/>
          <w:sz w:val="24"/>
        </w:rPr>
        <w:t>Registry Entity</w:t>
      </w:r>
    </w:p>
    <w:p>
      <w:r>
        <w:rPr>
          <w:sz w:val="20"/>
        </w:rPr>
        <w:t>Кожен запис моделі містить:</w:t>
      </w:r>
    </w:p>
    <w:p>
      <w:pPr>
        <w:pStyle w:val="ListBullet"/>
        <w:ind w:left="283"/>
      </w:pPr>
      <w:r>
        <w:rPr>
          <w:sz w:val="20"/>
        </w:rPr>
        <w:t>model_id</w:t>
      </w:r>
    </w:p>
    <w:p>
      <w:pPr>
        <w:pStyle w:val="ListBullet"/>
        <w:ind w:left="283"/>
      </w:pPr>
      <w:r>
        <w:rPr>
          <w:sz w:val="20"/>
        </w:rPr>
        <w:t>version</w:t>
      </w:r>
    </w:p>
    <w:p>
      <w:pPr>
        <w:pStyle w:val="ListBullet"/>
        <w:ind w:left="283"/>
      </w:pPr>
      <w:r>
        <w:rPr>
          <w:sz w:val="20"/>
        </w:rPr>
        <w:t>model_type</w:t>
      </w:r>
    </w:p>
    <w:p>
      <w:pPr>
        <w:pStyle w:val="ListBullet"/>
        <w:ind w:left="283"/>
      </w:pPr>
      <w:r>
        <w:rPr>
          <w:sz w:val="20"/>
        </w:rPr>
        <w:t>training_dataset_snapshot</w:t>
      </w:r>
    </w:p>
    <w:p>
      <w:pPr>
        <w:pStyle w:val="ListBullet"/>
        <w:ind w:left="283"/>
      </w:pPr>
      <w:r>
        <w:rPr>
          <w:sz w:val="20"/>
        </w:rPr>
        <w:t>feature_set_version</w:t>
      </w:r>
    </w:p>
    <w:p>
      <w:pPr>
        <w:pStyle w:val="ListBullet"/>
        <w:ind w:left="283"/>
      </w:pPr>
      <w:r>
        <w:rPr>
          <w:sz w:val="20"/>
        </w:rPr>
        <w:t>evaluation_report_ref</w:t>
      </w:r>
    </w:p>
    <w:p>
      <w:pPr>
        <w:pStyle w:val="ListBullet"/>
        <w:ind w:left="283"/>
      </w:pPr>
      <w:r>
        <w:rPr>
          <w:sz w:val="20"/>
        </w:rPr>
        <w:t>approval_status</w:t>
      </w:r>
    </w:p>
    <w:p>
      <w:pPr>
        <w:pStyle w:val="ListBullet"/>
        <w:ind w:left="283"/>
      </w:pPr>
      <w:r>
        <w:rPr>
          <w:sz w:val="20"/>
        </w:rPr>
        <w:t>deployment_targets</w:t>
      </w:r>
    </w:p>
    <w:p>
      <w:pPr>
        <w:pStyle w:val="ListBullet"/>
        <w:ind w:left="283"/>
      </w:pPr>
      <w:r>
        <w:rPr>
          <w:sz w:val="20"/>
        </w:rPr>
        <w:t>rollback_reference</w:t>
      </w:r>
    </w:p>
    <w:p>
      <w:pPr>
        <w:pStyle w:val="Heading2"/>
      </w:pPr>
      <w:r>
        <w:rPr>
          <w:color w:val="1A569A"/>
          <w:sz w:val="24"/>
        </w:rPr>
        <w:t>Lifecycle States</w:t>
      </w:r>
    </w:p>
    <w:p>
      <w:pPr>
        <w:pStyle w:val="ListBullet"/>
        <w:ind w:left="283"/>
      </w:pPr>
      <w:r>
        <w:rPr>
          <w:sz w:val="20"/>
        </w:rPr>
        <w:t>Draft</w:t>
      </w:r>
    </w:p>
    <w:p>
      <w:pPr>
        <w:pStyle w:val="ListBullet"/>
        <w:ind w:left="283"/>
      </w:pPr>
      <w:r>
        <w:rPr>
          <w:sz w:val="20"/>
        </w:rPr>
        <w:t>Validated</w:t>
      </w:r>
    </w:p>
    <w:p>
      <w:pPr>
        <w:pStyle w:val="ListBullet"/>
        <w:ind w:left="283"/>
      </w:pPr>
      <w:r>
        <w:rPr>
          <w:sz w:val="20"/>
        </w:rPr>
        <w:t>Approved</w:t>
      </w:r>
    </w:p>
    <w:p>
      <w:pPr>
        <w:pStyle w:val="ListBullet"/>
        <w:ind w:left="283"/>
      </w:pPr>
      <w:r>
        <w:rPr>
          <w:sz w:val="20"/>
        </w:rPr>
        <w:t>Deployed</w:t>
      </w:r>
    </w:p>
    <w:p>
      <w:pPr>
        <w:pStyle w:val="ListBullet"/>
        <w:ind w:left="283"/>
      </w:pPr>
      <w:r>
        <w:rPr>
          <w:sz w:val="20"/>
        </w:rPr>
        <w:t>Deprecated</w:t>
      </w:r>
    </w:p>
    <w:p>
      <w:pPr>
        <w:pStyle w:val="ListBullet"/>
        <w:ind w:left="283"/>
      </w:pPr>
      <w:r>
        <w:rPr>
          <w:sz w:val="20"/>
        </w:rPr>
        <w:t>Archived</w:t>
      </w:r>
    </w:p>
    <w:p>
      <w:pPr>
        <w:pStyle w:val="Heading2"/>
      </w:pPr>
      <w:r>
        <w:rPr>
          <w:color w:val="1A569A"/>
          <w:sz w:val="24"/>
        </w:rPr>
        <w:t>Approval Workflow</w:t>
      </w:r>
    </w:p>
    <w:p>
      <w:pPr>
        <w:pStyle w:val="ListBullet"/>
        <w:ind w:left="283"/>
      </w:pPr>
      <w:r>
        <w:rPr>
          <w:sz w:val="20"/>
        </w:rPr>
        <w:t>Technical validation gate.</w:t>
      </w:r>
    </w:p>
    <w:p>
      <w:pPr>
        <w:pStyle w:val="ListBullet"/>
        <w:ind w:left="283"/>
      </w:pPr>
      <w:r>
        <w:rPr>
          <w:sz w:val="20"/>
        </w:rPr>
        <w:t>Responsible AI and bias gate.</w:t>
      </w:r>
    </w:p>
    <w:p>
      <w:pPr>
        <w:pStyle w:val="ListBullet"/>
        <w:ind w:left="283"/>
      </w:pPr>
      <w:r>
        <w:rPr>
          <w:sz w:val="20"/>
        </w:rPr>
        <w:t>Security/compliance gate.</w:t>
      </w:r>
    </w:p>
    <w:p>
      <w:pPr>
        <w:pStyle w:val="ListBullet"/>
        <w:ind w:left="283"/>
      </w:pPr>
      <w:r>
        <w:rPr>
          <w:sz w:val="20"/>
        </w:rPr>
        <w:t>Final release approval.</w:t>
      </w:r>
    </w:p>
    <w:p>
      <w:pPr>
        <w:pStyle w:val="Heading2"/>
      </w:pPr>
      <w:r>
        <w:rPr>
          <w:color w:val="1A569A"/>
          <w:sz w:val="24"/>
        </w:rPr>
        <w:t>Deployment Governance</w:t>
      </w:r>
    </w:p>
    <w:p>
      <w:pPr>
        <w:pStyle w:val="ListBullet"/>
        <w:ind w:left="283"/>
      </w:pPr>
      <w:r>
        <w:rPr>
          <w:sz w:val="20"/>
        </w:rPr>
        <w:t>Canary/limited rollout options.</w:t>
      </w:r>
    </w:p>
    <w:p>
      <w:pPr>
        <w:pStyle w:val="ListBullet"/>
        <w:ind w:left="283"/>
      </w:pPr>
      <w:r>
        <w:rPr>
          <w:sz w:val="20"/>
        </w:rPr>
        <w:t>Policy-bound activation.</w:t>
      </w:r>
    </w:p>
    <w:p>
      <w:pPr>
        <w:pStyle w:val="ListBullet"/>
        <w:ind w:left="283"/>
      </w:pPr>
      <w:r>
        <w:rPr>
          <w:sz w:val="20"/>
        </w:rPr>
        <w:t>Automatic rollback triggers.</w:t>
      </w:r>
    </w:p>
    <w:p>
      <w:pPr>
        <w:pStyle w:val="Heading2"/>
      </w:pPr>
      <w:r>
        <w:rPr>
          <w:color w:val="1A569A"/>
          <w:sz w:val="24"/>
        </w:rPr>
        <w:t>Compatibility Controls</w:t>
      </w:r>
    </w:p>
    <w:p>
      <w:pPr>
        <w:pStyle w:val="ListBullet"/>
        <w:ind w:left="283"/>
      </w:pPr>
      <w:r>
        <w:rPr>
          <w:sz w:val="20"/>
        </w:rPr>
        <w:t>Model &lt;-&gt; feature version matrix.</w:t>
      </w:r>
    </w:p>
    <w:p>
      <w:pPr>
        <w:pStyle w:val="ListBullet"/>
        <w:ind w:left="283"/>
      </w:pPr>
      <w:r>
        <w:rPr>
          <w:sz w:val="20"/>
        </w:rPr>
        <w:t>Model &lt;-&gt; policy configuration matrix.</w:t>
      </w:r>
    </w:p>
    <w:p>
      <w:pPr>
        <w:pStyle w:val="ListBullet"/>
        <w:ind w:left="283"/>
      </w:pPr>
      <w:r>
        <w:rPr>
          <w:sz w:val="20"/>
        </w:rPr>
        <w:t>Backward compatibility status.</w:t>
      </w:r>
    </w:p>
    <w:p>
      <w:pPr>
        <w:pStyle w:val="Heading2"/>
      </w:pPr>
      <w:r>
        <w:rPr>
          <w:color w:val="1A569A"/>
          <w:sz w:val="24"/>
        </w:rPr>
        <w:t>Audit Requirements</w:t>
      </w:r>
    </w:p>
    <w:p>
      <w:pPr>
        <w:pStyle w:val="ListBullet"/>
        <w:ind w:left="283"/>
      </w:pPr>
      <w:r>
        <w:rPr>
          <w:sz w:val="20"/>
        </w:rPr>
        <w:t>Immutable change history.</w:t>
      </w:r>
    </w:p>
    <w:p>
      <w:pPr>
        <w:pStyle w:val="ListBullet"/>
        <w:ind w:left="283"/>
      </w:pPr>
      <w:r>
        <w:rPr>
          <w:sz w:val="20"/>
        </w:rPr>
        <w:t>Who/when/why for each state change.</w:t>
      </w:r>
    </w:p>
    <w:p>
      <w:pPr>
        <w:pStyle w:val="ListBullet"/>
        <w:ind w:left="283"/>
      </w:pPr>
      <w:r>
        <w:rPr>
          <w:sz w:val="20"/>
        </w:rPr>
        <w:t>Linked evidence artifacts.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Жодна модель не деплоїться без approved registry record.</w:t>
      </w:r>
    </w:p>
    <w:p>
      <w:pPr>
        <w:pStyle w:val="ListBullet"/>
        <w:ind w:left="283"/>
      </w:pPr>
      <w:r>
        <w:rPr>
          <w:sz w:val="20"/>
        </w:rPr>
        <w:t>Є простежуваність від моделі до evaluation/bias reports.</w:t>
      </w:r>
    </w:p>
    <w:p>
      <w:pPr>
        <w:pStyle w:val="ListBullet"/>
        <w:ind w:left="283"/>
      </w:pPr>
      <w:r>
        <w:rPr>
          <w:sz w:val="20"/>
        </w:rPr>
        <w:t>Rollback сценарій задокументований для кожної deployed model.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17-feature-store.md, 23-model-lifecycle.md, 24-experiment-tracking.md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