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Explainability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Explainability</w:t>
      </w:r>
    </w:p>
    <w:p>
      <w:r>
        <w:rPr>
          <w:sz w:val="20"/>
        </w:rPr>
        <w:t>Мова: Українська (default) | [English](20-explainability.en.md)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Explainable AI Lead</w:t>
      </w:r>
    </w:p>
    <w:p>
      <w:pPr>
        <w:pStyle w:val="ListBullet"/>
        <w:ind w:left="283"/>
      </w:pPr>
      <w:r>
        <w:rPr>
          <w:sz w:val="20"/>
        </w:rPr>
        <w:t>Contributors: Product Research, ML Team, Decision Science Team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Визначити explainability framework для рішень DIP і представлення пояснень у Dzvin.co для різних аудиторій.</w:t>
      </w:r>
    </w:p>
    <w:p>
      <w:pPr>
        <w:pStyle w:val="Heading2"/>
      </w:pPr>
      <w:r>
        <w:rPr>
          <w:color w:val="1A569A"/>
          <w:sz w:val="24"/>
        </w:rPr>
        <w:t>Explainability Goals</w:t>
      </w:r>
    </w:p>
    <w:p>
      <w:pPr>
        <w:pStyle w:val="ListBullet"/>
        <w:ind w:left="283"/>
      </w:pPr>
      <w:r>
        <w:rPr>
          <w:sz w:val="20"/>
        </w:rPr>
        <w:t>Пояснення мають допомагати приймати кращі рішення, а не лише пояснювати модель.</w:t>
      </w:r>
    </w:p>
    <w:p>
      <w:pPr>
        <w:pStyle w:val="ListBullet"/>
        <w:ind w:left="283"/>
      </w:pPr>
      <w:r>
        <w:rPr>
          <w:sz w:val="20"/>
        </w:rPr>
        <w:t>Пояснення мають бути безпечними й недіагностичними.</w:t>
      </w:r>
    </w:p>
    <w:p>
      <w:pPr>
        <w:pStyle w:val="ListBullet"/>
        <w:ind w:left="283"/>
      </w:pPr>
      <w:r>
        <w:rPr>
          <w:sz w:val="20"/>
        </w:rPr>
        <w:t>Пояснення мають бути auditable та відтворюваними.</w:t>
      </w:r>
    </w:p>
    <w:p>
      <w:pPr>
        <w:pStyle w:val="Heading2"/>
      </w:pPr>
      <w:r>
        <w:rPr>
          <w:color w:val="1A569A"/>
          <w:sz w:val="24"/>
        </w:rPr>
        <w:t>Audience Layers</w:t>
      </w:r>
    </w:p>
    <w:p>
      <w:pPr>
        <w:pStyle w:val="ListBullet"/>
        <w:ind w:left="283"/>
      </w:pPr>
      <w:r>
        <w:rPr>
          <w:sz w:val="20"/>
        </w:rPr>
        <w:t>End-user: короткі, підтримуючі, non-clinical пояснення.</w:t>
      </w:r>
    </w:p>
    <w:p>
      <w:pPr>
        <w:pStyle w:val="ListBullet"/>
        <w:ind w:left="283"/>
      </w:pPr>
      <w:r>
        <w:rPr>
          <w:sz w:val="20"/>
        </w:rPr>
        <w:t>Manager/HR: агреговані фактори ризику та рекомендовані дії.</w:t>
      </w:r>
    </w:p>
    <w:p>
      <w:pPr>
        <w:pStyle w:val="ListBullet"/>
        <w:ind w:left="283"/>
      </w:pPr>
      <w:r>
        <w:rPr>
          <w:sz w:val="20"/>
        </w:rPr>
        <w:t>Admin/Research: детальні traces, confidence, policy source.</w:t>
      </w:r>
    </w:p>
    <w:p>
      <w:pPr>
        <w:pStyle w:val="Heading2"/>
      </w:pPr>
      <w:r>
        <w:rPr>
          <w:color w:val="1A569A"/>
          <w:sz w:val="24"/>
        </w:rPr>
        <w:t>Explanation Types</w:t>
      </w:r>
    </w:p>
    <w:p>
      <w:pPr>
        <w:pStyle w:val="ListBullet"/>
        <w:ind w:left="283"/>
      </w:pPr>
      <w:r>
        <w:rPr>
          <w:sz w:val="20"/>
        </w:rPr>
        <w:t>Rule trace: які умови спрацювали.</w:t>
      </w:r>
    </w:p>
    <w:p>
      <w:pPr>
        <w:pStyle w:val="ListBullet"/>
        <w:ind w:left="283"/>
      </w:pPr>
      <w:r>
        <w:rPr>
          <w:sz w:val="20"/>
        </w:rPr>
        <w:t>Feature rationale: які сигнали внесли найбільший вклад.</w:t>
      </w:r>
    </w:p>
    <w:p>
      <w:pPr>
        <w:pStyle w:val="ListBullet"/>
        <w:ind w:left="283"/>
      </w:pPr>
      <w:r>
        <w:rPr>
          <w:sz w:val="20"/>
        </w:rPr>
        <w:t>Confidence context: рівень невизначеності.</w:t>
      </w:r>
    </w:p>
    <w:p>
      <w:pPr>
        <w:pStyle w:val="ListBullet"/>
        <w:ind w:left="283"/>
      </w:pPr>
      <w:r>
        <w:rPr>
          <w:sz w:val="20"/>
        </w:rPr>
        <w:t>Policy rationale: чому обрано конкретний decision path.</w:t>
      </w:r>
    </w:p>
    <w:p>
      <w:pPr>
        <w:pStyle w:val="Heading2"/>
      </w:pPr>
      <w:r>
        <w:rPr>
          <w:color w:val="1A569A"/>
          <w:sz w:val="24"/>
        </w:rPr>
        <w:t>Minimum Explanation Contract</w:t>
      </w:r>
    </w:p>
    <w:p>
      <w:pPr>
        <w:pStyle w:val="ListBullet"/>
        <w:ind w:left="283"/>
      </w:pPr>
      <w:r>
        <w:rPr>
          <w:sz w:val="20"/>
        </w:rPr>
        <w:t>decision_id</w:t>
      </w:r>
    </w:p>
    <w:p>
      <w:pPr>
        <w:pStyle w:val="ListBullet"/>
        <w:ind w:left="283"/>
      </w:pPr>
      <w:r>
        <w:rPr>
          <w:sz w:val="20"/>
        </w:rPr>
        <w:t>explanation_summary</w:t>
      </w:r>
    </w:p>
    <w:p>
      <w:pPr>
        <w:pStyle w:val="ListBullet"/>
        <w:ind w:left="283"/>
      </w:pPr>
      <w:r>
        <w:rPr>
          <w:sz w:val="20"/>
        </w:rPr>
        <w:t>top_contributing_signals</w:t>
      </w:r>
    </w:p>
    <w:p>
      <w:pPr>
        <w:pStyle w:val="ListBullet"/>
        <w:ind w:left="283"/>
      </w:pPr>
      <w:r>
        <w:rPr>
          <w:sz w:val="20"/>
        </w:rPr>
        <w:t>confidence_level</w:t>
      </w:r>
    </w:p>
    <w:p>
      <w:pPr>
        <w:pStyle w:val="ListBullet"/>
        <w:ind w:left="283"/>
      </w:pPr>
      <w:r>
        <w:rPr>
          <w:sz w:val="20"/>
        </w:rPr>
        <w:t>policy_variant</w:t>
      </w:r>
    </w:p>
    <w:p>
      <w:pPr>
        <w:pStyle w:val="ListBullet"/>
        <w:ind w:left="283"/>
      </w:pPr>
      <w:r>
        <w:rPr>
          <w:sz w:val="20"/>
        </w:rPr>
        <w:t>timestamp</w:t>
      </w:r>
    </w:p>
    <w:p>
      <w:pPr>
        <w:pStyle w:val="ListBullet"/>
        <w:ind w:left="283"/>
      </w:pPr>
      <w:r>
        <w:rPr>
          <w:sz w:val="20"/>
        </w:rPr>
        <w:t>model_or_rule_version</w:t>
      </w:r>
    </w:p>
    <w:p>
      <w:pPr>
        <w:pStyle w:val="Heading2"/>
      </w:pPr>
      <w:r>
        <w:rPr>
          <w:color w:val="1A569A"/>
          <w:sz w:val="24"/>
        </w:rPr>
        <w:t>Safety Constraints</w:t>
      </w:r>
    </w:p>
    <w:p>
      <w:pPr>
        <w:pStyle w:val="ListBullet"/>
        <w:ind w:left="283"/>
      </w:pPr>
      <w:r>
        <w:rPr>
          <w:sz w:val="20"/>
        </w:rPr>
        <w:t>Заборонені категоричні клінічні формулювання.</w:t>
      </w:r>
    </w:p>
    <w:p>
      <w:pPr>
        <w:pStyle w:val="ListBullet"/>
        <w:ind w:left="283"/>
      </w:pPr>
      <w:r>
        <w:rPr>
          <w:sz w:val="20"/>
        </w:rPr>
        <w:t>Обов'язкові обмеження інтерпретації (limitations).</w:t>
      </w:r>
    </w:p>
    <w:p>
      <w:pPr>
        <w:pStyle w:val="ListBullet"/>
        <w:ind w:left="283"/>
      </w:pPr>
      <w:r>
        <w:rPr>
          <w:sz w:val="20"/>
        </w:rPr>
        <w:t>Escalation path для високого ризику і низької впевненості.</w:t>
      </w:r>
    </w:p>
    <w:p>
      <w:pPr>
        <w:pStyle w:val="Heading2"/>
      </w:pPr>
      <w:r>
        <w:rPr>
          <w:color w:val="1A569A"/>
          <w:sz w:val="24"/>
        </w:rPr>
        <w:t>Explainability Quality Criteria</w:t>
      </w:r>
    </w:p>
    <w:p>
      <w:pPr>
        <w:pStyle w:val="ListBullet"/>
        <w:ind w:left="283"/>
      </w:pPr>
      <w:r>
        <w:rPr>
          <w:sz w:val="20"/>
        </w:rPr>
        <w:t>Faithfulness: пояснення відповідає реальному decision flow.</w:t>
      </w:r>
    </w:p>
    <w:p>
      <w:pPr>
        <w:pStyle w:val="ListBullet"/>
        <w:ind w:left="283"/>
      </w:pPr>
      <w:r>
        <w:rPr>
          <w:sz w:val="20"/>
        </w:rPr>
        <w:t>Completeness: пояснення покриває ключові сигнали.</w:t>
      </w:r>
    </w:p>
    <w:p>
      <w:pPr>
        <w:pStyle w:val="ListBullet"/>
        <w:ind w:left="283"/>
      </w:pPr>
      <w:r>
        <w:rPr>
          <w:sz w:val="20"/>
        </w:rPr>
        <w:t>Actionability: пояснення веде до зрозумілої дії.</w:t>
      </w:r>
    </w:p>
    <w:p>
      <w:pPr>
        <w:pStyle w:val="ListBullet"/>
        <w:ind w:left="283"/>
      </w:pPr>
      <w:r>
        <w:rPr>
          <w:sz w:val="20"/>
        </w:rPr>
        <w:t>Stability: малі зміни у вході не створюють хаотичних пояснень.</w:t>
      </w:r>
    </w:p>
    <w:p>
      <w:pPr>
        <w:pStyle w:val="Heading2"/>
      </w:pPr>
      <w:r>
        <w:rPr>
          <w:color w:val="1A569A"/>
          <w:sz w:val="24"/>
        </w:rPr>
        <w:t>Technical Methods (Planned)</w:t>
      </w:r>
    </w:p>
    <w:p>
      <w:pPr>
        <w:pStyle w:val="ListBullet"/>
        <w:ind w:left="283"/>
      </w:pPr>
      <w:r>
        <w:rPr>
          <w:sz w:val="20"/>
        </w:rPr>
        <w:t>Rule-native traces (implemented baseline).</w:t>
      </w:r>
    </w:p>
    <w:p>
      <w:pPr>
        <w:pStyle w:val="ListBullet"/>
        <w:ind w:left="283"/>
      </w:pPr>
      <w:r>
        <w:rPr>
          <w:sz w:val="20"/>
        </w:rPr>
        <w:t>Contribution-based ranking for ML signals.</w:t>
      </w:r>
    </w:p>
    <w:p>
      <w:pPr>
        <w:pStyle w:val="ListBullet"/>
        <w:ind w:left="283"/>
      </w:pPr>
      <w:r>
        <w:rPr>
          <w:sz w:val="20"/>
        </w:rPr>
        <w:t>Counterfactual-style "what changed" summaries.</w:t>
      </w:r>
    </w:p>
    <w:p>
      <w:pPr>
        <w:pStyle w:val="ListBullet"/>
        <w:ind w:left="283"/>
      </w:pPr>
      <w:r>
        <w:rPr>
          <w:sz w:val="20"/>
        </w:rPr>
        <w:t>Segment-aware explanation templates.</w:t>
      </w:r>
    </w:p>
    <w:p>
      <w:pPr>
        <w:pStyle w:val="Heading2"/>
      </w:pPr>
      <w:r>
        <w:rPr>
          <w:color w:val="1A569A"/>
          <w:sz w:val="24"/>
        </w:rPr>
        <w:t>Validation Plan</w:t>
      </w:r>
    </w:p>
    <w:p>
      <w:pPr>
        <w:pStyle w:val="ListBullet"/>
        <w:ind w:left="283"/>
      </w:pPr>
      <w:r>
        <w:rPr>
          <w:sz w:val="20"/>
        </w:rPr>
        <w:t>User comprehension testing.</w:t>
      </w:r>
    </w:p>
    <w:p>
      <w:pPr>
        <w:pStyle w:val="ListBullet"/>
        <w:ind w:left="283"/>
      </w:pPr>
      <w:r>
        <w:rPr>
          <w:sz w:val="20"/>
        </w:rPr>
        <w:t>Trust uplift analysis vs no-explanation baseline.</w:t>
      </w:r>
    </w:p>
    <w:p>
      <w:pPr>
        <w:pStyle w:val="ListBullet"/>
        <w:ind w:left="283"/>
      </w:pPr>
      <w:r>
        <w:rPr>
          <w:sz w:val="20"/>
        </w:rPr>
        <w:t>Error detection support study (чи помічають користувачі невпевнені рішення).</w:t>
      </w:r>
    </w:p>
    <w:p>
      <w:pPr>
        <w:pStyle w:val="Heading2"/>
      </w:pPr>
      <w:r>
        <w:rPr>
          <w:color w:val="1A569A"/>
          <w:sz w:val="24"/>
        </w:rPr>
        <w:t>Risks</w:t>
      </w:r>
    </w:p>
    <w:p>
      <w:pPr>
        <w:pStyle w:val="ListBullet"/>
        <w:ind w:left="283"/>
      </w:pPr>
      <w:r>
        <w:rPr>
          <w:sz w:val="20"/>
        </w:rPr>
        <w:t>Over-explanation і когнітивне перевантаження.</w:t>
      </w:r>
    </w:p>
    <w:p>
      <w:pPr>
        <w:pStyle w:val="ListBullet"/>
        <w:ind w:left="283"/>
      </w:pPr>
      <w:r>
        <w:rPr>
          <w:sz w:val="20"/>
        </w:rPr>
        <w:t>False sense of certainty.</w:t>
      </w:r>
    </w:p>
    <w:p>
      <w:pPr>
        <w:pStyle w:val="ListBullet"/>
        <w:ind w:left="283"/>
      </w:pPr>
      <w:r>
        <w:rPr>
          <w:sz w:val="20"/>
        </w:rPr>
        <w:t>Leakage of sensitive attributes in explanations.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Кожне high-impact рішення має explainability payload.</w:t>
      </w:r>
    </w:p>
    <w:p>
      <w:pPr>
        <w:pStyle w:val="ListBullet"/>
        <w:ind w:left="283"/>
      </w:pPr>
      <w:r>
        <w:rPr>
          <w:sz w:val="20"/>
        </w:rPr>
        <w:t>Пояснення відповідають role-based policy.</w:t>
      </w:r>
    </w:p>
    <w:p>
      <w:pPr>
        <w:pStyle w:val="ListBullet"/>
        <w:ind w:left="283"/>
      </w:pPr>
      <w:r>
        <w:rPr>
          <w:sz w:val="20"/>
        </w:rPr>
        <w:t>Пояснення проходять safety review і user validation.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16-decision-engine.md, 22-uncertainty.md, 29-explainability-validation.md, 37-ethics.md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