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Uncertainty Estimation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Uncertainty Estimation</w:t>
      </w:r>
    </w:p>
    <w:p>
      <w:r>
        <w:rPr>
          <w:sz w:val="20"/>
        </w:rPr>
        <w:t>Мова: Українська (default) | [English](22-uncertainty.en.md)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ML Lead</w:t>
      </w:r>
    </w:p>
    <w:p>
      <w:pPr>
        <w:pStyle w:val="ListBullet"/>
        <w:ind w:left="283"/>
      </w:pPr>
      <w:r>
        <w:rPr>
          <w:sz w:val="20"/>
        </w:rPr>
        <w:t>Contributors: Decision Science, Responsible AI Lead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Визначити, як оцінювати та використовувати невизначеність у рішенні, щоб зменшити ризик хибних дій.</w:t>
      </w:r>
    </w:p>
    <w:p>
      <w:pPr>
        <w:pStyle w:val="Heading2"/>
      </w:pPr>
      <w:r>
        <w:rPr>
          <w:color w:val="1A569A"/>
          <w:sz w:val="24"/>
        </w:rPr>
        <w:t>Uncertainty Types</w:t>
      </w:r>
    </w:p>
    <w:p>
      <w:pPr>
        <w:pStyle w:val="ListBullet"/>
        <w:ind w:left="283"/>
      </w:pPr>
      <w:r>
        <w:rPr>
          <w:sz w:val="20"/>
        </w:rPr>
        <w:t>Data uncertainty: sparse/noisy/missing inputs.</w:t>
      </w:r>
    </w:p>
    <w:p>
      <w:pPr>
        <w:pStyle w:val="ListBullet"/>
        <w:ind w:left="283"/>
      </w:pPr>
      <w:r>
        <w:rPr>
          <w:sz w:val="20"/>
        </w:rPr>
        <w:t>Model uncertainty: unstable prediction under perturbations.</w:t>
      </w:r>
    </w:p>
    <w:p>
      <w:pPr>
        <w:pStyle w:val="ListBullet"/>
        <w:ind w:left="283"/>
      </w:pPr>
      <w:r>
        <w:rPr>
          <w:sz w:val="20"/>
        </w:rPr>
        <w:t>Policy uncertainty: conflicting decision signals.</w:t>
      </w:r>
    </w:p>
    <w:p>
      <w:pPr>
        <w:pStyle w:val="Heading2"/>
      </w:pPr>
      <w:r>
        <w:rPr>
          <w:color w:val="1A569A"/>
          <w:sz w:val="24"/>
        </w:rPr>
        <w:t>Estimation Signals</w:t>
      </w:r>
    </w:p>
    <w:p>
      <w:pPr>
        <w:pStyle w:val="ListBullet"/>
        <w:ind w:left="283"/>
      </w:pPr>
      <w:r>
        <w:rPr>
          <w:sz w:val="20"/>
        </w:rPr>
        <w:t>Confidence score from input completeness.</w:t>
      </w:r>
    </w:p>
    <w:p>
      <w:pPr>
        <w:pStyle w:val="ListBullet"/>
        <w:ind w:left="283"/>
      </w:pPr>
      <w:r>
        <w:rPr>
          <w:sz w:val="20"/>
        </w:rPr>
        <w:t>Stability under bootstrap/perturbation checks.</w:t>
      </w:r>
    </w:p>
    <w:p>
      <w:pPr>
        <w:pStyle w:val="ListBullet"/>
        <w:ind w:left="283"/>
      </w:pPr>
      <w:r>
        <w:rPr>
          <w:sz w:val="20"/>
        </w:rPr>
        <w:t>Disagreement indicators between rule and ML outputs.</w:t>
      </w:r>
    </w:p>
    <w:p>
      <w:pPr>
        <w:pStyle w:val="ListBullet"/>
        <w:ind w:left="283"/>
      </w:pPr>
      <w:r>
        <w:rPr>
          <w:sz w:val="20"/>
        </w:rPr>
        <w:t>Cohort coverage adequacy markers.</w:t>
      </w:r>
    </w:p>
    <w:p>
      <w:pPr>
        <w:pStyle w:val="Heading2"/>
      </w:pPr>
      <w:r>
        <w:rPr>
          <w:color w:val="1A569A"/>
          <w:sz w:val="24"/>
        </w:rPr>
        <w:t>Decision Policy Integration</w:t>
      </w:r>
    </w:p>
    <w:p>
      <w:pPr>
        <w:pStyle w:val="ListBullet"/>
        <w:ind w:left="283"/>
      </w:pPr>
      <w:r>
        <w:rPr>
          <w:sz w:val="20"/>
        </w:rPr>
        <w:t>High risk + high uncertainty -&gt; human review path.</w:t>
      </w:r>
    </w:p>
    <w:p>
      <w:pPr>
        <w:pStyle w:val="ListBullet"/>
        <w:ind w:left="283"/>
      </w:pPr>
      <w:r>
        <w:rPr>
          <w:sz w:val="20"/>
        </w:rPr>
        <w:t>Low uncertainty + consistent signals -&gt; standard action path.</w:t>
      </w:r>
    </w:p>
    <w:p>
      <w:pPr>
        <w:pStyle w:val="ListBullet"/>
        <w:ind w:left="283"/>
      </w:pPr>
      <w:r>
        <w:rPr>
          <w:sz w:val="20"/>
        </w:rPr>
        <w:t>Persistent uncertainty -&gt; additional data request/observation period.</w:t>
      </w:r>
    </w:p>
    <w:p>
      <w:pPr>
        <w:pStyle w:val="Heading2"/>
      </w:pPr>
      <w:r>
        <w:rPr>
          <w:color w:val="1A569A"/>
          <w:sz w:val="24"/>
        </w:rPr>
        <w:t>Communication Layer</w:t>
      </w:r>
    </w:p>
    <w:p>
      <w:pPr>
        <w:pStyle w:val="ListBullet"/>
        <w:ind w:left="283"/>
      </w:pPr>
      <w:r>
        <w:rPr>
          <w:sz w:val="20"/>
        </w:rPr>
        <w:t>Role-adapted uncertainty explanation.</w:t>
      </w:r>
    </w:p>
    <w:p>
      <w:pPr>
        <w:pStyle w:val="ListBullet"/>
        <w:ind w:left="283"/>
      </w:pPr>
      <w:r>
        <w:rPr>
          <w:sz w:val="20"/>
        </w:rPr>
        <w:t>Clear distinction: "low confidence" != "no risk".</w:t>
      </w:r>
    </w:p>
    <w:p>
      <w:pPr>
        <w:pStyle w:val="ListBullet"/>
        <w:ind w:left="283"/>
      </w:pPr>
      <w:r>
        <w:rPr>
          <w:sz w:val="20"/>
        </w:rPr>
        <w:t>Avoid deterministic language under uncertainty.</w:t>
      </w:r>
    </w:p>
    <w:p>
      <w:pPr>
        <w:pStyle w:val="Heading2"/>
      </w:pPr>
      <w:r>
        <w:rPr>
          <w:color w:val="1A569A"/>
          <w:sz w:val="24"/>
        </w:rPr>
        <w:t>Monitoring</w:t>
      </w:r>
    </w:p>
    <w:p>
      <w:pPr>
        <w:pStyle w:val="ListBullet"/>
        <w:ind w:left="283"/>
      </w:pPr>
      <w:r>
        <w:rPr>
          <w:sz w:val="20"/>
        </w:rPr>
        <w:t>Distribution of confidence levels over time.</w:t>
      </w:r>
    </w:p>
    <w:p>
      <w:pPr>
        <w:pStyle w:val="ListBullet"/>
        <w:ind w:left="283"/>
      </w:pPr>
      <w:r>
        <w:rPr>
          <w:sz w:val="20"/>
        </w:rPr>
        <w:t>Correlation between uncertainty and downstream errors.</w:t>
      </w:r>
    </w:p>
    <w:p>
      <w:pPr>
        <w:pStyle w:val="ListBullet"/>
        <w:ind w:left="283"/>
      </w:pPr>
      <w:r>
        <w:rPr>
          <w:sz w:val="20"/>
        </w:rPr>
        <w:t>Uncertainty drift alerts.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Кожен decision output містить uncertainty marker.</w:t>
      </w:r>
    </w:p>
    <w:p>
      <w:pPr>
        <w:pStyle w:val="ListBullet"/>
        <w:ind w:left="283"/>
      </w:pPr>
      <w:r>
        <w:rPr>
          <w:sz w:val="20"/>
        </w:rPr>
        <w:t>Є policy rules для uncertainty-triggered safeguards.</w:t>
      </w:r>
    </w:p>
    <w:p>
      <w:pPr>
        <w:pStyle w:val="ListBullet"/>
        <w:ind w:left="283"/>
      </w:pPr>
      <w:r>
        <w:rPr>
          <w:sz w:val="20"/>
        </w:rPr>
        <w:t>Uncertainty quality входить у регулярний evaluation цикл.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20-explainability.md, 21-adaptive-baseline.md, 25-evaluation.md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