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Model Lifecycle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Model Lifecycle</w:t>
      </w:r>
    </w:p>
    <w:p>
      <w:r>
        <w:rPr>
          <w:sz w:val="20"/>
        </w:rPr>
        <w:t>Мова: Українська (default) | [English](23-model-lifecycle.en.md)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MLOps Lead</w:t>
      </w:r>
    </w:p>
    <w:p>
      <w:pPr>
        <w:pStyle w:val="ListBullet"/>
        <w:ind w:left="283"/>
      </w:pPr>
      <w:r>
        <w:rPr>
          <w:sz w:val="20"/>
        </w:rPr>
        <w:t>Contributors: ML Team, Platform Team, QA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повний lifecycle моделей від ідеї до deprecation у межах DIP + Dzvin.co.</w:t>
      </w:r>
    </w:p>
    <w:p>
      <w:pPr>
        <w:pStyle w:val="Heading2"/>
      </w:pPr>
      <w:r>
        <w:rPr>
          <w:color w:val="1A569A"/>
          <w:sz w:val="24"/>
        </w:rPr>
        <w:t>Lifecycle Stages</w:t>
      </w:r>
    </w:p>
    <w:p>
      <w:r>
        <w:rPr>
          <w:sz w:val="20"/>
        </w:rPr>
        <w:t>1. Problem framing</w:t>
      </w:r>
    </w:p>
    <w:p>
      <w:r>
        <w:rPr>
          <w:sz w:val="20"/>
        </w:rPr>
        <w:t>2. Data and feature freeze</w:t>
      </w:r>
    </w:p>
    <w:p>
      <w:r>
        <w:rPr>
          <w:sz w:val="20"/>
        </w:rPr>
        <w:t>3. Training and offline validation</w:t>
      </w:r>
    </w:p>
    <w:p>
      <w:r>
        <w:rPr>
          <w:sz w:val="20"/>
        </w:rPr>
        <w:t>4. Registry approval</w:t>
      </w:r>
    </w:p>
    <w:p>
      <w:r>
        <w:rPr>
          <w:sz w:val="20"/>
        </w:rPr>
        <w:t>5. Controlled deployment</w:t>
      </w:r>
    </w:p>
    <w:p>
      <w:r>
        <w:rPr>
          <w:sz w:val="20"/>
        </w:rPr>
        <w:t>6. Monitoring and online evaluation</w:t>
      </w:r>
    </w:p>
    <w:p>
      <w:r>
        <w:rPr>
          <w:sz w:val="20"/>
        </w:rPr>
        <w:t>7. Retraining or rollback</w:t>
      </w:r>
    </w:p>
    <w:p>
      <w:r>
        <w:rPr>
          <w:sz w:val="20"/>
        </w:rPr>
        <w:t>8. Deprecation and archive</w:t>
      </w:r>
    </w:p>
    <w:p>
      <w:pPr>
        <w:pStyle w:val="Heading2"/>
      </w:pPr>
      <w:r>
        <w:rPr>
          <w:color w:val="1A569A"/>
          <w:sz w:val="24"/>
        </w:rPr>
        <w:t>Entry and Exit Criteria</w:t>
      </w:r>
    </w:p>
    <w:p>
      <w:pPr>
        <w:pStyle w:val="ListBullet"/>
        <w:ind w:left="283"/>
      </w:pPr>
      <w:r>
        <w:rPr>
          <w:sz w:val="20"/>
        </w:rPr>
        <w:t>Кожен етап має чіткі gates і required artifacts.</w:t>
      </w:r>
    </w:p>
    <w:p>
      <w:pPr>
        <w:pStyle w:val="ListBullet"/>
        <w:ind w:left="283"/>
      </w:pPr>
      <w:r>
        <w:rPr>
          <w:sz w:val="20"/>
        </w:rPr>
        <w:t>Перехід між етапами можливий лише за наявності evidences.</w:t>
      </w:r>
    </w:p>
    <w:p>
      <w:pPr>
        <w:pStyle w:val="Heading2"/>
      </w:pPr>
      <w:r>
        <w:rPr>
          <w:color w:val="1A569A"/>
          <w:sz w:val="24"/>
        </w:rPr>
        <w:t>Monitoring in Production</w:t>
      </w:r>
    </w:p>
    <w:p>
      <w:pPr>
        <w:pStyle w:val="ListBullet"/>
        <w:ind w:left="283"/>
      </w:pPr>
      <w:r>
        <w:rPr>
          <w:sz w:val="20"/>
        </w:rPr>
        <w:t>Predictive quality metrics.</w:t>
      </w:r>
    </w:p>
    <w:p>
      <w:pPr>
        <w:pStyle w:val="ListBullet"/>
        <w:ind w:left="283"/>
      </w:pPr>
      <w:r>
        <w:rPr>
          <w:sz w:val="20"/>
        </w:rPr>
        <w:t>Calibration and drift metrics.</w:t>
      </w:r>
    </w:p>
    <w:p>
      <w:pPr>
        <w:pStyle w:val="ListBullet"/>
        <w:ind w:left="283"/>
      </w:pPr>
      <w:r>
        <w:rPr>
          <w:sz w:val="20"/>
        </w:rPr>
        <w:t>Confidence distribution.</w:t>
      </w:r>
    </w:p>
    <w:p>
      <w:pPr>
        <w:pStyle w:val="ListBullet"/>
        <w:ind w:left="283"/>
      </w:pPr>
      <w:r>
        <w:rPr>
          <w:sz w:val="20"/>
        </w:rPr>
        <w:t>Policy conflict rates.</w:t>
      </w:r>
    </w:p>
    <w:p>
      <w:pPr>
        <w:pStyle w:val="Heading2"/>
      </w:pPr>
      <w:r>
        <w:rPr>
          <w:color w:val="1A569A"/>
          <w:sz w:val="24"/>
        </w:rPr>
        <w:t>Retraining Triggers</w:t>
      </w:r>
    </w:p>
    <w:p>
      <w:pPr>
        <w:pStyle w:val="ListBullet"/>
        <w:ind w:left="283"/>
      </w:pPr>
      <w:r>
        <w:rPr>
          <w:sz w:val="20"/>
        </w:rPr>
        <w:t>Sustained metric degradation.</w:t>
      </w:r>
    </w:p>
    <w:p>
      <w:pPr>
        <w:pStyle w:val="ListBullet"/>
        <w:ind w:left="283"/>
      </w:pPr>
      <w:r>
        <w:rPr>
          <w:sz w:val="20"/>
        </w:rPr>
        <w:t>Data distribution shift.</w:t>
      </w:r>
    </w:p>
    <w:p>
      <w:pPr>
        <w:pStyle w:val="ListBullet"/>
        <w:ind w:left="283"/>
      </w:pPr>
      <w:r>
        <w:rPr>
          <w:sz w:val="20"/>
        </w:rPr>
        <w:t>Label/ground-truth evolution.</w:t>
      </w:r>
    </w:p>
    <w:p>
      <w:pPr>
        <w:pStyle w:val="Heading2"/>
      </w:pPr>
      <w:r>
        <w:rPr>
          <w:color w:val="1A569A"/>
          <w:sz w:val="24"/>
        </w:rPr>
        <w:t>Rollback Triggers</w:t>
      </w:r>
    </w:p>
    <w:p>
      <w:pPr>
        <w:pStyle w:val="ListBullet"/>
        <w:ind w:left="283"/>
      </w:pPr>
      <w:r>
        <w:rPr>
          <w:sz w:val="20"/>
        </w:rPr>
        <w:t>Critical safety alerts.</w:t>
      </w:r>
    </w:p>
    <w:p>
      <w:pPr>
        <w:pStyle w:val="ListBullet"/>
        <w:ind w:left="283"/>
      </w:pPr>
      <w:r>
        <w:rPr>
          <w:sz w:val="20"/>
        </w:rPr>
        <w:t>Severe calibration drift.</w:t>
      </w:r>
    </w:p>
    <w:p>
      <w:pPr>
        <w:pStyle w:val="ListBullet"/>
        <w:ind w:left="283"/>
      </w:pPr>
      <w:r>
        <w:rPr>
          <w:sz w:val="20"/>
        </w:rPr>
        <w:t>Elevated false-high-risk rate.</w:t>
      </w:r>
    </w:p>
    <w:p>
      <w:pPr>
        <w:pStyle w:val="Heading2"/>
      </w:pPr>
      <w:r>
        <w:rPr>
          <w:color w:val="1A569A"/>
          <w:sz w:val="24"/>
        </w:rPr>
        <w:t>Documentation Requirements</w:t>
      </w:r>
    </w:p>
    <w:p>
      <w:pPr>
        <w:pStyle w:val="ListBullet"/>
        <w:ind w:left="283"/>
      </w:pPr>
      <w:r>
        <w:rPr>
          <w:sz w:val="20"/>
        </w:rPr>
        <w:t>Model card per version.</w:t>
      </w:r>
    </w:p>
    <w:p>
      <w:pPr>
        <w:pStyle w:val="ListBullet"/>
        <w:ind w:left="283"/>
      </w:pPr>
      <w:r>
        <w:rPr>
          <w:sz w:val="20"/>
        </w:rPr>
        <w:t>Evaluation report per release.</w:t>
      </w:r>
    </w:p>
    <w:p>
      <w:pPr>
        <w:pStyle w:val="ListBullet"/>
        <w:ind w:left="283"/>
      </w:pPr>
      <w:r>
        <w:rPr>
          <w:sz w:val="20"/>
        </w:rPr>
        <w:t>Bias and safety checklists.</w:t>
      </w:r>
    </w:p>
    <w:p>
      <w:pPr>
        <w:pStyle w:val="ListBullet"/>
        <w:ind w:left="283"/>
      </w:pPr>
      <w:r>
        <w:rPr>
          <w:sz w:val="20"/>
        </w:rPr>
        <w:t>Deployment and rollback logs.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Для кожної deployed model існує end-to-end lifecycle trace.</w:t>
      </w:r>
    </w:p>
    <w:p>
      <w:pPr>
        <w:pStyle w:val="ListBullet"/>
        <w:ind w:left="283"/>
      </w:pPr>
      <w:r>
        <w:rPr>
          <w:sz w:val="20"/>
        </w:rPr>
        <w:t>Retraining/rollback сценарії протестовані.</w:t>
      </w:r>
    </w:p>
    <w:p>
      <w:pPr>
        <w:pStyle w:val="ListBullet"/>
        <w:ind w:left="283"/>
      </w:pPr>
      <w:r>
        <w:rPr>
          <w:sz w:val="20"/>
        </w:rPr>
        <w:t>Lifecycle інтегрований з policy governance.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18-model-registry.md, 24-experiment-tracking.md, 25-evaluation.md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