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2A5C"/>
          <w:sz w:val="40"/>
        </w:rPr>
        <w:t>Evaluation Protocol</w:t>
      </w:r>
    </w:p>
    <w:p>
      <w:pPr>
        <w:jc w:val="center"/>
      </w:pPr>
      <w:r>
        <w:rPr>
          <w:sz w:val="24"/>
        </w:rPr>
        <w:t>Grant Documentation — Dzvin.co + DIP</w:t>
      </w:r>
    </w:p>
    <w:p>
      <w:pPr>
        <w:jc w:val="center"/>
      </w:pPr>
      <w:r>
        <w:rPr>
          <w:color w:val="555555"/>
          <w:sz w:val="18"/>
        </w:rPr>
        <w:t>Dzvin.co + DIP  |  2026-08-08 | Draft</w:t>
      </w:r>
    </w:p>
    <w:p>
      <w:r>
        <w:br w:type="page"/>
      </w:r>
    </w:p>
    <w:p>
      <w:pPr>
        <w:pStyle w:val="Heading1"/>
      </w:pPr>
      <w:r>
        <w:rPr>
          <w:color w:val="222A5C"/>
          <w:sz w:val="30"/>
        </w:rPr>
        <w:t>Evaluation Protocol</w:t>
      </w:r>
    </w:p>
    <w:p>
      <w:r>
        <w:rPr>
          <w:sz w:val="20"/>
        </w:rPr>
        <w:t>Мова: Українська (default) | [English](25-evaluation.en.md)</w:t>
      </w:r>
    </w:p>
    <w:p>
      <w:pPr>
        <w:pStyle w:val="Heading2"/>
      </w:pPr>
      <w:r>
        <w:rPr>
          <w:color w:val="1A569A"/>
          <w:sz w:val="24"/>
        </w:rPr>
        <w:t>Document Metadata</w:t>
      </w:r>
    </w:p>
    <w:p>
      <w:pPr>
        <w:pStyle w:val="ListBullet"/>
        <w:ind w:left="283"/>
      </w:pPr>
      <w:r>
        <w:rPr>
          <w:sz w:val="20"/>
        </w:rPr>
        <w:t>Owner: Evaluation Lead</w:t>
      </w:r>
    </w:p>
    <w:p>
      <w:pPr>
        <w:pStyle w:val="ListBullet"/>
        <w:ind w:left="283"/>
      </w:pPr>
      <w:r>
        <w:rPr>
          <w:sz w:val="20"/>
        </w:rPr>
        <w:t>Contributors: Data Science, Product Analytics, Scientific Coordinator</w:t>
      </w:r>
    </w:p>
    <w:p>
      <w:pPr>
        <w:pStyle w:val="ListBullet"/>
        <w:ind w:left="283"/>
      </w:pPr>
      <w:r>
        <w:rPr>
          <w:sz w:val="20"/>
        </w:rPr>
        <w:t>Version: 0.2</w:t>
      </w:r>
    </w:p>
    <w:p>
      <w:pPr>
        <w:pStyle w:val="ListBullet"/>
        <w:ind w:left="283"/>
      </w:pPr>
      <w:r>
        <w:rPr>
          <w:sz w:val="20"/>
        </w:rPr>
        <w:t>Last Updated: 2026-08-01</w:t>
      </w:r>
    </w:p>
    <w:p>
      <w:pPr>
        <w:pStyle w:val="ListBullet"/>
        <w:ind w:left="283"/>
      </w:pPr>
      <w:r>
        <w:rPr>
          <w:sz w:val="20"/>
        </w:rPr>
        <w:t>Status: Draft</w:t>
      </w:r>
    </w:p>
    <w:p>
      <w:pPr>
        <w:pStyle w:val="Heading2"/>
      </w:pPr>
      <w:r>
        <w:rPr>
          <w:color w:val="1A569A"/>
          <w:sz w:val="24"/>
        </w:rPr>
        <w:t>Purpose</w:t>
      </w:r>
    </w:p>
    <w:p>
      <w:r>
        <w:rPr>
          <w:sz w:val="20"/>
        </w:rPr>
        <w:t>Визначити єдиний протокол оцінювання для rule/ML/hybrid рішень та їх впливу на практичні outcomes.</w:t>
      </w:r>
    </w:p>
    <w:p>
      <w:pPr>
        <w:pStyle w:val="Heading2"/>
      </w:pPr>
      <w:r>
        <w:rPr>
          <w:color w:val="1A569A"/>
          <w:sz w:val="24"/>
        </w:rPr>
        <w:t>Evaluation Questions</w:t>
      </w:r>
    </w:p>
    <w:p>
      <w:pPr>
        <w:pStyle w:val="ListBullet"/>
        <w:ind w:left="283"/>
      </w:pPr>
      <w:r>
        <w:rPr>
          <w:sz w:val="20"/>
        </w:rPr>
        <w:t>Чи покращує hybrid engine якість рішень проти baselines?</w:t>
      </w:r>
    </w:p>
    <w:p>
      <w:pPr>
        <w:pStyle w:val="ListBullet"/>
        <w:ind w:left="283"/>
      </w:pPr>
      <w:r>
        <w:rPr>
          <w:sz w:val="20"/>
        </w:rPr>
        <w:t>Чи зберігається якість у різних сегментах?</w:t>
      </w:r>
    </w:p>
    <w:p>
      <w:pPr>
        <w:pStyle w:val="ListBullet"/>
        <w:ind w:left="283"/>
      </w:pPr>
      <w:r>
        <w:rPr>
          <w:sz w:val="20"/>
        </w:rPr>
        <w:t>Чи explainability підвищує довіру і прийняття рішень?</w:t>
      </w:r>
    </w:p>
    <w:p>
      <w:pPr>
        <w:pStyle w:val="Heading2"/>
      </w:pPr>
      <w:r>
        <w:rPr>
          <w:color w:val="1A569A"/>
          <w:sz w:val="24"/>
        </w:rPr>
        <w:t>Baselines</w:t>
      </w:r>
    </w:p>
    <w:p>
      <w:pPr>
        <w:pStyle w:val="ListBullet"/>
        <w:ind w:left="283"/>
      </w:pPr>
      <w:r>
        <w:rPr>
          <w:sz w:val="20"/>
        </w:rPr>
        <w:t>Deterministic rules baseline.</w:t>
      </w:r>
    </w:p>
    <w:p>
      <w:pPr>
        <w:pStyle w:val="ListBullet"/>
        <w:ind w:left="283"/>
      </w:pPr>
      <w:r>
        <w:rPr>
          <w:sz w:val="20"/>
        </w:rPr>
        <w:t>Heuristic scoring baseline.</w:t>
      </w:r>
    </w:p>
    <w:p>
      <w:pPr>
        <w:pStyle w:val="ListBullet"/>
        <w:ind w:left="283"/>
      </w:pPr>
      <w:r>
        <w:rPr>
          <w:sz w:val="20"/>
        </w:rPr>
        <w:t>Current production policy baseline.</w:t>
      </w:r>
    </w:p>
    <w:p>
      <w:pPr>
        <w:pStyle w:val="Heading2"/>
      </w:pPr>
      <w:r>
        <w:rPr>
          <w:color w:val="1A569A"/>
          <w:sz w:val="24"/>
        </w:rPr>
        <w:t>Evaluation Layers</w:t>
      </w:r>
    </w:p>
    <w:p>
      <w:pPr>
        <w:pStyle w:val="ListBullet"/>
        <w:ind w:left="283"/>
      </w:pPr>
      <w:r>
        <w:rPr>
          <w:sz w:val="20"/>
        </w:rPr>
        <w:t>Predictive layer: discrimination, calibration, uncertainty quality.</w:t>
      </w:r>
    </w:p>
    <w:p>
      <w:pPr>
        <w:pStyle w:val="ListBullet"/>
        <w:ind w:left="283"/>
      </w:pPr>
      <w:r>
        <w:rPr>
          <w:sz w:val="20"/>
        </w:rPr>
        <w:t>Decision layer: action relevance and disagreement handling.</w:t>
      </w:r>
    </w:p>
    <w:p>
      <w:pPr>
        <w:pStyle w:val="ListBullet"/>
        <w:ind w:left="283"/>
      </w:pPr>
      <w:r>
        <w:rPr>
          <w:sz w:val="20"/>
        </w:rPr>
        <w:t>Product layer: adoption, trust, time-to-action.</w:t>
      </w:r>
    </w:p>
    <w:p>
      <w:pPr>
        <w:pStyle w:val="Heading2"/>
      </w:pPr>
      <w:r>
        <w:rPr>
          <w:color w:val="1A569A"/>
          <w:sz w:val="24"/>
        </w:rPr>
        <w:t>Core Metrics (summary)</w:t>
      </w:r>
    </w:p>
    <w:p>
      <w:pPr>
        <w:pStyle w:val="ListBullet"/>
        <w:ind w:left="283"/>
      </w:pPr>
      <w:r>
        <w:rPr>
          <w:sz w:val="20"/>
        </w:rPr>
        <w:t>AUROC / AUPRC</w:t>
      </w:r>
    </w:p>
    <w:p>
      <w:pPr>
        <w:pStyle w:val="ListBullet"/>
        <w:ind w:left="283"/>
      </w:pPr>
      <w:r>
        <w:rPr>
          <w:sz w:val="20"/>
        </w:rPr>
        <w:t>Calibration error</w:t>
      </w:r>
    </w:p>
    <w:p>
      <w:pPr>
        <w:pStyle w:val="ListBullet"/>
        <w:ind w:left="283"/>
      </w:pPr>
      <w:r>
        <w:rPr>
          <w:sz w:val="20"/>
        </w:rPr>
        <w:t>Precision@high-risk</w:t>
      </w:r>
    </w:p>
    <w:p>
      <w:pPr>
        <w:pStyle w:val="ListBullet"/>
        <w:ind w:left="283"/>
      </w:pPr>
      <w:r>
        <w:rPr>
          <w:sz w:val="20"/>
        </w:rPr>
        <w:t>False alert rate</w:t>
      </w:r>
    </w:p>
    <w:p>
      <w:pPr>
        <w:pStyle w:val="ListBullet"/>
        <w:ind w:left="283"/>
      </w:pPr>
      <w:r>
        <w:rPr>
          <w:sz w:val="20"/>
        </w:rPr>
        <w:t>Trust score uplift</w:t>
      </w:r>
    </w:p>
    <w:p>
      <w:pPr>
        <w:pStyle w:val="ListBullet"/>
        <w:ind w:left="283"/>
      </w:pPr>
      <w:r>
        <w:rPr>
          <w:sz w:val="20"/>
        </w:rPr>
        <w:t>Policy stability index</w:t>
      </w:r>
    </w:p>
    <w:p>
      <w:pPr>
        <w:pStyle w:val="Heading2"/>
      </w:pPr>
      <w:r>
        <w:rPr>
          <w:color w:val="1A569A"/>
          <w:sz w:val="24"/>
        </w:rPr>
        <w:t>Segment Analysis</w:t>
      </w:r>
    </w:p>
    <w:p>
      <w:pPr>
        <w:pStyle w:val="ListBullet"/>
        <w:ind w:left="283"/>
      </w:pPr>
      <w:r>
        <w:rPr>
          <w:sz w:val="20"/>
        </w:rPr>
        <w:t>By company size</w:t>
      </w:r>
    </w:p>
    <w:p>
      <w:pPr>
        <w:pStyle w:val="ListBullet"/>
        <w:ind w:left="283"/>
      </w:pPr>
      <w:r>
        <w:rPr>
          <w:sz w:val="20"/>
        </w:rPr>
        <w:t>By team type</w:t>
      </w:r>
    </w:p>
    <w:p>
      <w:pPr>
        <w:pStyle w:val="ListBullet"/>
        <w:ind w:left="283"/>
      </w:pPr>
      <w:r>
        <w:rPr>
          <w:sz w:val="20"/>
        </w:rPr>
        <w:t>By engagement strata</w:t>
      </w:r>
    </w:p>
    <w:p>
      <w:pPr>
        <w:pStyle w:val="ListBullet"/>
        <w:ind w:left="283"/>
      </w:pPr>
      <w:r>
        <w:rPr>
          <w:sz w:val="20"/>
        </w:rPr>
        <w:t>By data completeness strata</w:t>
      </w:r>
    </w:p>
    <w:p>
      <w:pPr>
        <w:pStyle w:val="Heading2"/>
      </w:pPr>
      <w:r>
        <w:rPr>
          <w:color w:val="1A569A"/>
          <w:sz w:val="24"/>
        </w:rPr>
        <w:t>Acceptance Threshold Policy</w:t>
      </w:r>
    </w:p>
    <w:p>
      <w:pPr>
        <w:pStyle w:val="ListBullet"/>
        <w:ind w:left="283"/>
      </w:pPr>
      <w:r>
        <w:rPr>
          <w:sz w:val="20"/>
        </w:rPr>
        <w:t>Primary metrics must beat baseline with predefined margin.</w:t>
      </w:r>
    </w:p>
    <w:p>
      <w:pPr>
        <w:pStyle w:val="ListBullet"/>
        <w:ind w:left="283"/>
      </w:pPr>
      <w:r>
        <w:rPr>
          <w:sz w:val="20"/>
        </w:rPr>
        <w:t>No critical degradation in protected or sensitive cohorts.</w:t>
      </w:r>
    </w:p>
    <w:p>
      <w:pPr>
        <w:pStyle w:val="ListBullet"/>
        <w:ind w:left="283"/>
      </w:pPr>
      <w:r>
        <w:rPr>
          <w:sz w:val="20"/>
        </w:rPr>
        <w:t>Confidence intervals must exclude harmful regression region.</w:t>
      </w:r>
    </w:p>
    <w:p>
      <w:pPr>
        <w:pStyle w:val="Heading2"/>
      </w:pPr>
      <w:r>
        <w:rPr>
          <w:color w:val="1A569A"/>
          <w:sz w:val="24"/>
        </w:rPr>
        <w:t>Online Evaluation Rules</w:t>
      </w:r>
    </w:p>
    <w:p>
      <w:pPr>
        <w:pStyle w:val="ListBullet"/>
        <w:ind w:left="283"/>
      </w:pPr>
      <w:r>
        <w:rPr>
          <w:sz w:val="20"/>
        </w:rPr>
        <w:t>Minimal sample before decisive policy updates.</w:t>
      </w:r>
    </w:p>
    <w:p>
      <w:pPr>
        <w:pStyle w:val="ListBullet"/>
        <w:ind w:left="283"/>
      </w:pPr>
      <w:r>
        <w:rPr>
          <w:sz w:val="20"/>
        </w:rPr>
        <w:t>Guardrails for rollback.</w:t>
      </w:r>
    </w:p>
    <w:p>
      <w:pPr>
        <w:pStyle w:val="ListBullet"/>
        <w:ind w:left="283"/>
      </w:pPr>
      <w:r>
        <w:rPr>
          <w:sz w:val="20"/>
        </w:rPr>
        <w:t>Auto-mitigation on degraded cycles.</w:t>
      </w:r>
    </w:p>
    <w:p>
      <w:pPr>
        <w:pStyle w:val="Heading2"/>
      </w:pPr>
      <w:r>
        <w:rPr>
          <w:color w:val="1A569A"/>
          <w:sz w:val="24"/>
        </w:rPr>
        <w:t>Backtesting on Historical Data</w:t>
      </w:r>
    </w:p>
    <w:p>
      <w:pPr>
        <w:pStyle w:val="ListBullet"/>
        <w:ind w:left="283"/>
      </w:pPr>
      <w:r>
        <w:rPr>
          <w:sz w:val="20"/>
        </w:rPr>
        <w:t>Time-based split: training на даних &lt; cutoff, testing на даних ≥ cutoff (no leakage).</w:t>
      </w:r>
    </w:p>
    <w:p>
      <w:pPr>
        <w:pStyle w:val="ListBullet"/>
        <w:ind w:left="283"/>
      </w:pPr>
      <w:r>
        <w:rPr>
          <w:sz w:val="20"/>
        </w:rPr>
        <w:t>Rolling-origin backtest: послідовне зміщення cutoff для оцінки стабільності в часі.</w:t>
      </w:r>
    </w:p>
    <w:p>
      <w:pPr>
        <w:pStyle w:val="ListBullet"/>
        <w:ind w:left="283"/>
      </w:pPr>
      <w:r>
        <w:rPr>
          <w:sz w:val="20"/>
        </w:rPr>
        <w:t>Replay historical risk events через поточну policy для порівняння з фактичними outcomes.</w:t>
      </w:r>
    </w:p>
    <w:p>
      <w:pPr>
        <w:pStyle w:val="ListBullet"/>
        <w:ind w:left="283"/>
      </w:pPr>
      <w:r>
        <w:rPr>
          <w:sz w:val="20"/>
        </w:rPr>
        <w:t>Метрики backtest: AUROC/AUPRC по періодах, calibration drift, alert precision у часі.</w:t>
      </w:r>
    </w:p>
    <w:p>
      <w:pPr>
        <w:pStyle w:val="Heading2"/>
      </w:pPr>
      <w:r>
        <w:rPr>
          <w:color w:val="1A569A"/>
          <w:sz w:val="24"/>
        </w:rPr>
        <w:t>Generalizability Checks</w:t>
      </w:r>
    </w:p>
    <w:p>
      <w:pPr>
        <w:pStyle w:val="ListBullet"/>
        <w:ind w:left="283"/>
      </w:pPr>
      <w:r>
        <w:rPr>
          <w:sz w:val="20"/>
        </w:rPr>
        <w:t>Cross-cohort validation: навчання на одних компаніях/командах, тест на інших.</w:t>
      </w:r>
    </w:p>
    <w:p>
      <w:pPr>
        <w:pStyle w:val="ListBullet"/>
        <w:ind w:left="283"/>
      </w:pPr>
      <w:r>
        <w:rPr>
          <w:sz w:val="20"/>
        </w:rPr>
        <w:t>Segment robustness: перевірка стабільності метрик по company size, team type, engagement strata.</w:t>
      </w:r>
    </w:p>
    <w:p>
      <w:pPr>
        <w:pStyle w:val="ListBullet"/>
        <w:ind w:left="283"/>
      </w:pPr>
      <w:r>
        <w:rPr>
          <w:sz w:val="20"/>
        </w:rPr>
        <w:t>Out-of-distribution probe: оцінка деградації на когортах з нетиповим baseline.</w:t>
      </w:r>
    </w:p>
    <w:p>
      <w:pPr>
        <w:pStyle w:val="ListBullet"/>
        <w:ind w:left="283"/>
      </w:pPr>
      <w:r>
        <w:rPr>
          <w:sz w:val="20"/>
        </w:rPr>
        <w:t>Критерій: відсутність critical degradation у жодному захищеному сегменті.</w:t>
      </w:r>
    </w:p>
    <w:p>
      <w:pPr>
        <w:pStyle w:val="Heading2"/>
      </w:pPr>
      <w:r>
        <w:rPr>
          <w:color w:val="1A569A"/>
          <w:sz w:val="24"/>
        </w:rPr>
        <w:t>Reporting Format</w:t>
      </w:r>
    </w:p>
    <w:p>
      <w:pPr>
        <w:pStyle w:val="ListBullet"/>
        <w:ind w:left="283"/>
      </w:pPr>
      <w:r>
        <w:rPr>
          <w:sz w:val="20"/>
        </w:rPr>
        <w:t>Executive summary (non-technical)</w:t>
      </w:r>
    </w:p>
    <w:p>
      <w:pPr>
        <w:pStyle w:val="ListBullet"/>
        <w:ind w:left="283"/>
      </w:pPr>
      <w:r>
        <w:rPr>
          <w:sz w:val="20"/>
        </w:rPr>
        <w:t>Technical appendix with metric definitions</w:t>
      </w:r>
    </w:p>
    <w:p>
      <w:pPr>
        <w:pStyle w:val="ListBullet"/>
        <w:ind w:left="283"/>
      </w:pPr>
      <w:r>
        <w:rPr>
          <w:sz w:val="20"/>
        </w:rPr>
        <w:t>Risk and bias section</w:t>
      </w:r>
    </w:p>
    <w:p>
      <w:pPr>
        <w:pStyle w:val="ListBullet"/>
        <w:ind w:left="283"/>
      </w:pPr>
      <w:r>
        <w:rPr>
          <w:sz w:val="20"/>
        </w:rPr>
        <w:t>Reproducibility references</w:t>
      </w:r>
    </w:p>
    <w:p>
      <w:pPr>
        <w:pStyle w:val="Heading2"/>
      </w:pPr>
      <w:r>
        <w:rPr>
          <w:color w:val="1A569A"/>
          <w:sz w:val="24"/>
        </w:rPr>
        <w:t>Decision Gates</w:t>
      </w:r>
    </w:p>
    <w:p>
      <w:pPr>
        <w:pStyle w:val="ListBullet"/>
        <w:ind w:left="283"/>
      </w:pPr>
      <w:r>
        <w:rPr>
          <w:sz w:val="20"/>
        </w:rPr>
        <w:t>Gate A: research readiness</w:t>
      </w:r>
    </w:p>
    <w:p>
      <w:pPr>
        <w:pStyle w:val="ListBullet"/>
        <w:ind w:left="283"/>
      </w:pPr>
      <w:r>
        <w:rPr>
          <w:sz w:val="20"/>
        </w:rPr>
        <w:t>Gate B: limited rollout</w:t>
      </w:r>
    </w:p>
    <w:p>
      <w:pPr>
        <w:pStyle w:val="ListBullet"/>
        <w:ind w:left="283"/>
      </w:pPr>
      <w:r>
        <w:rPr>
          <w:sz w:val="20"/>
        </w:rPr>
        <w:t>Gate C: production default policy</w:t>
      </w:r>
    </w:p>
    <w:p>
      <w:pPr>
        <w:pStyle w:val="Heading2"/>
      </w:pPr>
      <w:r>
        <w:rPr>
          <w:color w:val="1A569A"/>
          <w:sz w:val="24"/>
        </w:rPr>
        <w:t>Acceptance Criteria</w:t>
      </w:r>
    </w:p>
    <w:p>
      <w:pPr>
        <w:pStyle w:val="ListBullet"/>
        <w:ind w:left="283"/>
      </w:pPr>
      <w:r>
        <w:rPr>
          <w:sz w:val="20"/>
        </w:rPr>
        <w:t>Протокол покриває offline + online етапи.</w:t>
      </w:r>
    </w:p>
    <w:p>
      <w:pPr>
        <w:pStyle w:val="ListBullet"/>
        <w:ind w:left="283"/>
      </w:pPr>
      <w:r>
        <w:rPr>
          <w:sz w:val="20"/>
        </w:rPr>
        <w:t>Визначені stop conditions і rollback criteria.</w:t>
      </w:r>
    </w:p>
    <w:p>
      <w:pPr>
        <w:pStyle w:val="ListBullet"/>
        <w:ind w:left="283"/>
      </w:pPr>
      <w:r>
        <w:rPr>
          <w:sz w:val="20"/>
        </w:rPr>
        <w:t>Є шаблон reviewer-ready evaluation report.</w:t>
      </w:r>
    </w:p>
    <w:p>
      <w:pPr>
        <w:pStyle w:val="Heading2"/>
      </w:pPr>
      <w:r>
        <w:rPr>
          <w:color w:val="1A569A"/>
          <w:sz w:val="24"/>
        </w:rPr>
        <w:t>Links</w:t>
      </w:r>
    </w:p>
    <w:p>
      <w:pPr>
        <w:pStyle w:val="ListBullet"/>
        <w:ind w:left="283"/>
      </w:pPr>
      <w:r>
        <w:rPr>
          <w:sz w:val="20"/>
        </w:rPr>
        <w:t>Related docs: 12-statistics.md, 26-metrics.md, 27-clinical-validation.md, 29-explainability-validation.md</w:t>
      </w:r>
    </w:p>
    <w:p>
      <w:pPr>
        <w:pStyle w:val="Heading2"/>
      </w:pPr>
      <w:r>
        <w:rPr>
          <w:color w:val="1A569A"/>
          <w:sz w:val="24"/>
        </w:rPr>
        <w:t>Horizon Europe References</w:t>
      </w:r>
    </w:p>
    <w:p>
      <w:pPr>
        <w:pStyle w:val="ListBullet"/>
        <w:ind w:left="283"/>
      </w:pPr>
      <w:r>
        <w:rPr>
          <w:sz w:val="20"/>
        </w:rPr>
        <w:t>EIC Work Programme 2026: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Funding and Tenders Portal (application process): https://research-and-innovation.ec.europa.eu/funding/how-apply/application-process_en</w:t>
      </w:r>
    </w:p>
    <w:p>
      <w:pPr>
        <w:pStyle w:val="ListBullet"/>
        <w:ind w:left="283"/>
      </w:pPr>
      <w:r>
        <w:rPr>
          <w:sz w:val="20"/>
        </w:rPr>
        <w:t>EIC Pathfinder FAQ (eligibility and conditions): https://eic.ec.europa.eu/eic-frequently-asked-questions/faqs-general-conditions-and-eligibility_en</w:t>
      </w:r>
    </w:p>
    <w:p>
      <w:pPr>
        <w:pStyle w:val="ListBullet"/>
        <w:ind w:left="283"/>
      </w:pPr>
      <w:r>
        <w:rPr>
          <w:sz w:val="20"/>
        </w:rPr>
        <w:t>Evaluation Form (expert criteria): https://ec.europa.eu/info/funding-tenders/opportunities/docs/2021-2027/horizon/temp-form/ef/ef_he-eic-pathfinder-open_en.pdf</w:t>
      </w:r>
    </w:p>
    <w:p>
      <w:pPr>
        <w:pStyle w:val="ListBullet"/>
        <w:ind w:left="283"/>
      </w:pPr>
      <w:r>
        <w:rPr>
          <w:sz w:val="20"/>
        </w:rPr>
        <w:t>Advice for Applicants: https://rea.ec.europa.eu/guidance/advice-applicants_en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0"/>
        </w:rPr>
        <w:t>References:</w:t>
      </w:r>
    </w:p>
    <w:p>
      <w:pPr>
        <w:pStyle w:val="ListBullet"/>
        <w:ind w:left="283"/>
      </w:pPr>
      <w:r>
        <w:rPr>
          <w:sz w:val="20"/>
        </w:rPr>
        <w:t>EIC Pathfinder: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PARP Ścieżka SMART: https://www.parp.gov.pl/harmonogram-naborow/grants/sciezka-smart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